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DC756" w14:textId="1D713989" w:rsidR="00972492" w:rsidRPr="007138D2" w:rsidRDefault="00972492">
      <w:r>
        <w:t xml:space="preserve">Aan </w:t>
      </w:r>
      <w:r w:rsidR="0077349B">
        <w:t xml:space="preserve">dhr. </w:t>
      </w:r>
      <w:r w:rsidR="0077349B" w:rsidRPr="007138D2">
        <w:t>D. de Jong, se</w:t>
      </w:r>
      <w:r w:rsidR="007138D2" w:rsidRPr="007138D2">
        <w:t>cretaris cao-partije</w:t>
      </w:r>
      <w:r w:rsidR="007138D2">
        <w:t xml:space="preserve">n </w:t>
      </w:r>
      <w:proofErr w:type="spellStart"/>
      <w:r w:rsidR="007138D2">
        <w:t>bvg</w:t>
      </w:r>
      <w:proofErr w:type="spellEnd"/>
      <w:r w:rsidR="007138D2">
        <w:t>, Pensioenfonds Vervoer</w:t>
      </w:r>
    </w:p>
    <w:p w14:paraId="476B0E03" w14:textId="47E53545" w:rsidR="00C2433C" w:rsidRDefault="00C2433C">
      <w:r>
        <w:t xml:space="preserve">Onderwerp: oordeel in het kader van het hoorrecht transitieplan </w:t>
      </w:r>
    </w:p>
    <w:p w14:paraId="1A635C7D" w14:textId="29C9DDF6" w:rsidR="00C2433C" w:rsidRDefault="00C2433C">
      <w:r>
        <w:t>Van: Eric Brendel en Willem Reijn namens ANBO en KBO-PCOB</w:t>
      </w:r>
    </w:p>
    <w:p w14:paraId="1501C4F1" w14:textId="77777777" w:rsidR="00C2433C" w:rsidRDefault="00C2433C"/>
    <w:p w14:paraId="44483F4F" w14:textId="77777777" w:rsidR="00C2433C" w:rsidRDefault="00C2433C"/>
    <w:p w14:paraId="102E358D" w14:textId="7D0FF9D7" w:rsidR="00C2433C" w:rsidRDefault="004A785C">
      <w:r>
        <w:t xml:space="preserve">Geachte </w:t>
      </w:r>
      <w:r w:rsidR="0041328E">
        <w:t>heer De Jong</w:t>
      </w:r>
      <w:r>
        <w:t>,</w:t>
      </w:r>
    </w:p>
    <w:p w14:paraId="286C3B6A" w14:textId="77777777" w:rsidR="004A785C" w:rsidRDefault="004A785C"/>
    <w:p w14:paraId="5E137402" w14:textId="1F4C3DA8" w:rsidR="004A785C" w:rsidRDefault="00124D43">
      <w:r>
        <w:t xml:space="preserve">Wij willen allereerst onze waardering uitspreken voor de manier waarop wij toegelaten zijn tot het uitoefenen van het hoorrecht in het kader van de WTP. </w:t>
      </w:r>
      <w:r w:rsidR="004F31FE">
        <w:t>Wij hebben daarvoor van u ontvangen het transitieplan,. een nadere toelichting op het plan en antwoord op nadere vragen.</w:t>
      </w:r>
    </w:p>
    <w:p w14:paraId="3769CC81" w14:textId="310130B5" w:rsidR="00D075FF" w:rsidRDefault="00D075FF">
      <w:r>
        <w:t xml:space="preserve">Zoals de wet voorschrijft geven wij een oordeel over het transitieplan </w:t>
      </w:r>
      <w:r w:rsidR="00E5497C">
        <w:t>en horen wij van u wat er met die aanbevelingen is gedaan.</w:t>
      </w:r>
      <w:r w:rsidR="00E31F26">
        <w:t xml:space="preserve"> Wij willen ons tot de hoofdzaken beperken en niet te detail</w:t>
      </w:r>
      <w:r w:rsidR="00F21FB6">
        <w:t>listisch op het transitieplan ingaan.</w:t>
      </w:r>
    </w:p>
    <w:p w14:paraId="526D6706" w14:textId="2087D3DA" w:rsidR="00E5497C" w:rsidRDefault="00E5497C">
      <w:r>
        <w:t xml:space="preserve">Wij moeten voorop stellen dat het lastig is om een definitief oordeel uit te spreken. Er zit nogal licht tussen </w:t>
      </w:r>
      <w:r w:rsidR="007C7D56">
        <w:t xml:space="preserve">het toegestuurde </w:t>
      </w:r>
      <w:r w:rsidR="00E51C68">
        <w:t>transitieplan en de uitgebreide en interessante toelichting die wij van u kregen op 23 augustus jl..</w:t>
      </w:r>
    </w:p>
    <w:p w14:paraId="5046FCD8" w14:textId="2E235F5F" w:rsidR="00E51C68" w:rsidRDefault="008D37C2">
      <w:r>
        <w:t xml:space="preserve">Als ouderenorganisaties zien wij pensioen niet als een </w:t>
      </w:r>
      <w:r w:rsidR="0021585C">
        <w:t xml:space="preserve">financieel product, maar als een voorwaarde om op een waardige manier ouder te worden. Wij zien dat de </w:t>
      </w:r>
      <w:r w:rsidR="00A2720E">
        <w:t xml:space="preserve">omstandigheden voor ouderen veranderen, nu de overheid zich op zorgterrein verder terugtrekt en ouderen meer voor zichzelf – en voor anderen – moeten zorgen. </w:t>
      </w:r>
      <w:r w:rsidR="002D2903">
        <w:t>Ook mag worden verwacht dat ouderen meer zelf moeten bijdragen in de kosten van de zorg.</w:t>
      </w:r>
    </w:p>
    <w:p w14:paraId="36691E8E" w14:textId="77777777" w:rsidR="00873622" w:rsidRDefault="002D2903">
      <w:r>
        <w:t xml:space="preserve">Wij denken daarom dat een koopkrachtig pensioen een belangrijke voorwaarde is om </w:t>
      </w:r>
      <w:r w:rsidR="005F4021">
        <w:t>het streven naar een waardig leven te realiseren.</w:t>
      </w:r>
      <w:r w:rsidR="00F20A56">
        <w:t xml:space="preserve"> </w:t>
      </w:r>
    </w:p>
    <w:p w14:paraId="142688A7" w14:textId="77777777" w:rsidR="008C3084" w:rsidRDefault="00873622">
      <w:r>
        <w:t xml:space="preserve">Wij constateren dat het transitieplan sterk nominaal is ingericht. Tegelijk is uit de uitvoerige toelichting gebleken dat </w:t>
      </w:r>
      <w:r w:rsidR="004B45D9">
        <w:t xml:space="preserve">er nog naarstig wordt gekeken op welke wijze een – meer - koopkrachtig pensioen kan worden bereikt. </w:t>
      </w:r>
    </w:p>
    <w:p w14:paraId="2636F444" w14:textId="550BD984" w:rsidR="00AD3685" w:rsidRDefault="008C3084">
      <w:r>
        <w:t>Dat betekent dat ons oordeel ook niet geheel eenduidig kan zijn.</w:t>
      </w:r>
      <w:r w:rsidR="00AD6444">
        <w:br/>
      </w:r>
      <w:r w:rsidR="00AD6444">
        <w:br/>
      </w:r>
      <w:r w:rsidR="00AD6444" w:rsidRPr="003C2C33">
        <w:rPr>
          <w:u w:val="single"/>
        </w:rPr>
        <w:t>Aanbevelingen</w:t>
      </w:r>
      <w:r w:rsidR="00AD6444">
        <w:t>:</w:t>
      </w:r>
      <w:r w:rsidR="003C2C33">
        <w:br/>
      </w:r>
      <w:r w:rsidR="0058287C">
        <w:br/>
      </w:r>
      <w:r w:rsidR="000F6A47" w:rsidRPr="007D16C8">
        <w:rPr>
          <w:i/>
          <w:iCs/>
          <w:u w:val="single"/>
        </w:rPr>
        <w:t>A</w:t>
      </w:r>
      <w:r w:rsidR="00E625EC" w:rsidRPr="007D16C8">
        <w:rPr>
          <w:i/>
          <w:iCs/>
          <w:u w:val="single"/>
        </w:rPr>
        <w:t>andacht voor e</w:t>
      </w:r>
      <w:r w:rsidR="0058287C" w:rsidRPr="007D16C8">
        <w:rPr>
          <w:i/>
          <w:iCs/>
          <w:u w:val="single"/>
        </w:rPr>
        <w:t>en koopkrachtig</w:t>
      </w:r>
      <w:r w:rsidR="00E625EC" w:rsidRPr="007D16C8">
        <w:rPr>
          <w:i/>
          <w:iCs/>
          <w:u w:val="single"/>
        </w:rPr>
        <w:t>e</w:t>
      </w:r>
      <w:r w:rsidR="000F6A47" w:rsidRPr="007D16C8">
        <w:rPr>
          <w:i/>
          <w:iCs/>
          <w:u w:val="single"/>
        </w:rPr>
        <w:t>re</w:t>
      </w:r>
      <w:r w:rsidR="0058287C" w:rsidRPr="007D16C8">
        <w:rPr>
          <w:i/>
          <w:iCs/>
          <w:u w:val="single"/>
        </w:rPr>
        <w:t xml:space="preserve"> pensioen</w:t>
      </w:r>
      <w:r w:rsidR="00E625EC" w:rsidRPr="007D16C8">
        <w:rPr>
          <w:i/>
          <w:iCs/>
          <w:u w:val="single"/>
        </w:rPr>
        <w:t>uitkering</w:t>
      </w:r>
      <w:r w:rsidR="0058287C" w:rsidRPr="007D16C8">
        <w:rPr>
          <w:u w:val="single"/>
        </w:rPr>
        <w:br/>
      </w:r>
      <w:r w:rsidR="00E625EC">
        <w:t>Uit</w:t>
      </w:r>
      <w:r w:rsidR="0058287C">
        <w:t xml:space="preserve"> </w:t>
      </w:r>
      <w:r w:rsidR="00AC4F3E">
        <w:t>risicobereidheidsonderzoek</w:t>
      </w:r>
      <w:r w:rsidR="00E625EC">
        <w:t xml:space="preserve"> </w:t>
      </w:r>
      <w:r w:rsidR="007C44A5">
        <w:t xml:space="preserve">door het fonds </w:t>
      </w:r>
      <w:r w:rsidR="00E625EC">
        <w:t>zou zijn gebleken dat</w:t>
      </w:r>
      <w:r w:rsidR="0058287C">
        <w:t xml:space="preserve"> </w:t>
      </w:r>
      <w:r w:rsidR="00E625EC">
        <w:t>deelnemers</w:t>
      </w:r>
      <w:r w:rsidR="0058287C">
        <w:t xml:space="preserve"> de kans op een daling van de </w:t>
      </w:r>
      <w:r w:rsidR="00E625EC">
        <w:t>nominale</w:t>
      </w:r>
      <w:r w:rsidR="0058287C">
        <w:t xml:space="preserve"> </w:t>
      </w:r>
      <w:r w:rsidR="00E625EC">
        <w:t>pensioen</w:t>
      </w:r>
      <w:r w:rsidR="0058287C">
        <w:t xml:space="preserve">uitkering </w:t>
      </w:r>
      <w:r w:rsidR="00E625EC">
        <w:t xml:space="preserve">willen </w:t>
      </w:r>
      <w:r w:rsidR="0058287C">
        <w:t xml:space="preserve">minimaliseren. </w:t>
      </w:r>
      <w:r w:rsidR="007C44A5" w:rsidRPr="007C44A5">
        <w:t xml:space="preserve">In het transitieplan van PF Vervoer wordt </w:t>
      </w:r>
      <w:r w:rsidR="007C44A5">
        <w:t xml:space="preserve">daarom </w:t>
      </w:r>
      <w:r w:rsidR="007C44A5" w:rsidRPr="007C44A5">
        <w:t xml:space="preserve">voorrang gegeven aan het </w:t>
      </w:r>
      <w:r w:rsidR="007C44A5">
        <w:t xml:space="preserve">beschermen van de nominale uitkeringen. </w:t>
      </w:r>
    </w:p>
    <w:p w14:paraId="0F878B96" w14:textId="792D018B" w:rsidR="00690BBC" w:rsidRDefault="00465CF3">
      <w:r>
        <w:t>Keerzijde hiervan is dat de kans op een verhoging van de pensioenuitkeringen (</w:t>
      </w:r>
      <w:r w:rsidR="00CB30C0">
        <w:t xml:space="preserve">met </w:t>
      </w:r>
      <w:r>
        <w:t xml:space="preserve">bijvoorbeeld </w:t>
      </w:r>
      <w:r w:rsidRPr="00465CF3">
        <w:t>de consumentenprijsindex</w:t>
      </w:r>
      <w:r>
        <w:t xml:space="preserve"> )</w:t>
      </w:r>
      <w:r w:rsidR="00404193">
        <w:t xml:space="preserve"> </w:t>
      </w:r>
      <w:r>
        <w:t xml:space="preserve">erg klein is geworden. </w:t>
      </w:r>
      <w:r w:rsidR="00CB30C0">
        <w:t>V</w:t>
      </w:r>
      <w:r>
        <w:t xml:space="preserve">oor de (bijna) gepensioneerden </w:t>
      </w:r>
      <w:r w:rsidR="00404193">
        <w:t xml:space="preserve">is de kans </w:t>
      </w:r>
      <w:r w:rsidR="00CB30C0">
        <w:t>groot</w:t>
      </w:r>
      <w:r>
        <w:t xml:space="preserve"> dat de koopkracht van hun pensioen</w:t>
      </w:r>
      <w:r w:rsidR="00CB30C0">
        <w:t>en</w:t>
      </w:r>
      <w:r>
        <w:t xml:space="preserve"> in de loop der jaren flink </w:t>
      </w:r>
      <w:r w:rsidR="00C31973">
        <w:t>daalt</w:t>
      </w:r>
      <w:r>
        <w:t xml:space="preserve">. </w:t>
      </w:r>
      <w:r w:rsidR="00690BBC">
        <w:t xml:space="preserve">Uit de nadere antwoorden begrijpen wij dat </w:t>
      </w:r>
      <w:r w:rsidR="00C27E40">
        <w:t xml:space="preserve">het reële pensioen over de gemiddelde pensioentijd met de voorgeschreven parameters met circa tien procent daalt. </w:t>
      </w:r>
      <w:r w:rsidR="009E11E1">
        <w:t xml:space="preserve">Wij vragen ons af of het effect niet nog groter </w:t>
      </w:r>
      <w:r w:rsidR="00DE101B">
        <w:t>is</w:t>
      </w:r>
      <w:r w:rsidR="009E11E1">
        <w:t xml:space="preserve">, omdat </w:t>
      </w:r>
      <w:r w:rsidR="00DE101B">
        <w:t xml:space="preserve">het </w:t>
      </w:r>
      <w:r w:rsidR="00DE101B">
        <w:lastRenderedPageBreak/>
        <w:t>overrendement nauwelijks een half procent is.</w:t>
      </w:r>
      <w:r w:rsidR="00AC7F83">
        <w:t xml:space="preserve"> De eerste twee procent is immers de verdisconteerde ‘rekenrente’.</w:t>
      </w:r>
    </w:p>
    <w:p w14:paraId="56F228B3" w14:textId="2CEE864B" w:rsidR="00490084" w:rsidRDefault="00490084">
      <w:r>
        <w:t xml:space="preserve">Hoewel de risicobereidheid onder deelnemers zeer belangrijk is, moeten wetenschappelijke inzichten en kenmerken van de deelnemersgroep eveneens een rol spelen. De </w:t>
      </w:r>
      <w:r w:rsidR="000373E2">
        <w:t xml:space="preserve">opmerking tijdens het overleg dat ‘voor veel deelnemers elk tientje telt’, begrijpen wij heel goed. Wij constateren dat </w:t>
      </w:r>
      <w:r w:rsidR="00586AAE">
        <w:t>die tientjes in reële termen echter elk jaar zullen worden ingeleverd, waardoor deelnemers op termijn in problemen kunnen komen.</w:t>
      </w:r>
    </w:p>
    <w:p w14:paraId="0F92D999" w14:textId="77777777" w:rsidR="001244DA" w:rsidRDefault="001244DA"/>
    <w:p w14:paraId="0E09ACA6" w14:textId="050F9A6A" w:rsidR="0098269F" w:rsidRDefault="001244DA">
      <w:r w:rsidRPr="001244DA">
        <w:rPr>
          <w:b/>
          <w:bCs/>
        </w:rPr>
        <w:t>Aanbeveling</w:t>
      </w:r>
      <w:r>
        <w:t xml:space="preserve"> </w:t>
      </w:r>
      <w:r w:rsidR="0098269F">
        <w:t xml:space="preserve">Wij </w:t>
      </w:r>
      <w:r w:rsidR="000F1648">
        <w:t xml:space="preserve">onderschrijven </w:t>
      </w:r>
      <w:r w:rsidR="00BA4922">
        <w:t xml:space="preserve">het belang van de studie die het bestuursbureau uitvoert om te kijken op welke manier tot een koopkrachtig(er) pensioen kan worden gekomen. </w:t>
      </w:r>
      <w:r w:rsidR="00712247">
        <w:t xml:space="preserve">Wij begrijpen dat er een evenwicht </w:t>
      </w:r>
      <w:r w:rsidR="00BF730C">
        <w:t xml:space="preserve">moet worden gevonden tussen de bevindingen van het </w:t>
      </w:r>
      <w:r w:rsidR="00B97ACB">
        <w:t>risicobereidheidsonderzoek en deze doelstelling</w:t>
      </w:r>
      <w:r w:rsidR="00076FC3">
        <w:t>. Het is een afweging tussen minder zeker en zeker minder</w:t>
      </w:r>
      <w:r w:rsidR="0054243B">
        <w:t xml:space="preserve"> – met alle grijstinten die daar tussen zitten.</w:t>
      </w:r>
    </w:p>
    <w:p w14:paraId="4CD146D8" w14:textId="77777777" w:rsidR="0082148C" w:rsidRDefault="00AD6444">
      <w:r>
        <w:br/>
      </w:r>
      <w:r w:rsidR="003C2C33" w:rsidRPr="00233064">
        <w:rPr>
          <w:i/>
          <w:iCs/>
          <w:u w:val="single"/>
        </w:rPr>
        <w:t xml:space="preserve">Een eerlijke verdeling van het vermogen boven </w:t>
      </w:r>
      <w:r w:rsidR="0058287C" w:rsidRPr="00233064">
        <w:rPr>
          <w:i/>
          <w:iCs/>
          <w:u w:val="single"/>
        </w:rPr>
        <w:t>de</w:t>
      </w:r>
      <w:r w:rsidR="003C2C33" w:rsidRPr="00233064">
        <w:rPr>
          <w:i/>
          <w:iCs/>
          <w:u w:val="single"/>
        </w:rPr>
        <w:t xml:space="preserve"> dekkingsgraad van 110%</w:t>
      </w:r>
      <w:r w:rsidRPr="00233064">
        <w:rPr>
          <w:u w:val="single"/>
        </w:rPr>
        <w:br/>
      </w:r>
      <w:r>
        <w:t xml:space="preserve">Bij een dekkingsgraad boven 110% zal het vermogen volgens de standaardmethode worden verdeeld over de persoonlijke pensioenvermogens. Hierbij wordt als norm een uitsmeerperiode van 10 jaar </w:t>
      </w:r>
      <w:r w:rsidRPr="00AD6444">
        <w:t>gehanteerd</w:t>
      </w:r>
      <w:r>
        <w:t xml:space="preserve">. </w:t>
      </w:r>
      <w:r w:rsidR="00BC1691">
        <w:t xml:space="preserve">Hantering van deze norm zou </w:t>
      </w:r>
      <w:r>
        <w:t>betekenen dat</w:t>
      </w:r>
      <w:r w:rsidR="00C904B0">
        <w:t xml:space="preserve"> de</w:t>
      </w:r>
      <w:r>
        <w:t xml:space="preserve"> </w:t>
      </w:r>
      <w:r w:rsidR="00BC1691">
        <w:t xml:space="preserve">gepensioneerden een </w:t>
      </w:r>
      <w:r w:rsidR="0082148C">
        <w:t xml:space="preserve">aanzienlijk </w:t>
      </w:r>
      <w:r w:rsidR="00BC1691">
        <w:t xml:space="preserve">lager percentage van de technische voorziening mee zullen krijgen dan </w:t>
      </w:r>
      <w:r w:rsidR="0082148C">
        <w:t>actieve deelnemers</w:t>
      </w:r>
      <w:r w:rsidR="00BC1691">
        <w:t>.</w:t>
      </w:r>
      <w:r>
        <w:t xml:space="preserve"> </w:t>
      </w:r>
      <w:r w:rsidR="00BC1691">
        <w:t>Dit voelt niet evenwichtig, omdat het juist de gepensioneerden zijn die een groot deel van het huidige collectieve pensioenvermogen hebben opgebouwd.</w:t>
      </w:r>
    </w:p>
    <w:p w14:paraId="148278CB" w14:textId="77777777" w:rsidR="001244DA" w:rsidRDefault="0082148C">
      <w:r>
        <w:t xml:space="preserve">In dit verband </w:t>
      </w:r>
      <w:r w:rsidR="000C5539">
        <w:t xml:space="preserve">zou in het kader van het evenwicht de opgelopen indexatie-achterstand van de afgelopen periode kunnen worden meegewogen. </w:t>
      </w:r>
      <w:r w:rsidR="00BE585E">
        <w:t xml:space="preserve">Weliswaar vermeldt het pensioenreglement geen formele </w:t>
      </w:r>
      <w:r w:rsidR="00E47B55">
        <w:t xml:space="preserve">voorwaardelijke aanspraak op achterstandsindexatie, maar het is wel een reële omstandigheid waarmee de (aanstaand) gepensioneerden </w:t>
      </w:r>
      <w:r w:rsidR="00B23A9E">
        <w:t xml:space="preserve">elke dag te maken hebben. </w:t>
      </w:r>
    </w:p>
    <w:p w14:paraId="340B4FAE" w14:textId="6BFC5683" w:rsidR="001244DA" w:rsidRDefault="001244DA">
      <w:r w:rsidRPr="001244DA">
        <w:rPr>
          <w:b/>
          <w:bCs/>
        </w:rPr>
        <w:t>Aanbeveling</w:t>
      </w:r>
      <w:r>
        <w:t xml:space="preserve"> </w:t>
      </w:r>
      <w:r w:rsidR="00373C76">
        <w:t>Het terugbrengen van de spreidingstermijn kan ons inziens goed worden gemotiveerd in het kader van de evenwichtigheid.</w:t>
      </w:r>
    </w:p>
    <w:p w14:paraId="38DB6833" w14:textId="0CEC22E9" w:rsidR="00233064" w:rsidRPr="00233064" w:rsidRDefault="00E31F26">
      <w:pPr>
        <w:rPr>
          <w:i/>
          <w:iCs/>
          <w:u w:val="single"/>
        </w:rPr>
      </w:pPr>
      <w:r>
        <w:rPr>
          <w:i/>
          <w:iCs/>
          <w:u w:val="single"/>
        </w:rPr>
        <w:t>De verschillende scenario’s met betrekking tot het invaren</w:t>
      </w:r>
    </w:p>
    <w:p w14:paraId="0CD3FD22" w14:textId="25A4A85B" w:rsidR="00693B6E" w:rsidRDefault="00693B6E">
      <w:r>
        <w:t xml:space="preserve">Sociale partners hebben </w:t>
      </w:r>
      <w:r w:rsidR="00356A26">
        <w:t xml:space="preserve">gerekend met verschillende scenario’s met betrekking tot de dekkingsgraad. </w:t>
      </w:r>
      <w:r w:rsidR="00EB535D">
        <w:t>Daarbij vallen ons twee zaken op.</w:t>
      </w:r>
    </w:p>
    <w:p w14:paraId="6D58AB0C" w14:textId="3444F491" w:rsidR="00E26C2F" w:rsidRDefault="00EB535D">
      <w:r>
        <w:t xml:space="preserve">Het transitieplan is niet </w:t>
      </w:r>
      <w:r w:rsidR="00C449B4">
        <w:t>comp</w:t>
      </w:r>
      <w:r w:rsidR="00807A1E">
        <w:t>l</w:t>
      </w:r>
      <w:r w:rsidR="00C449B4">
        <w:t>eet</w:t>
      </w:r>
      <w:r>
        <w:t xml:space="preserve">, nu dekkingsgraden onder de 102 procent </w:t>
      </w:r>
      <w:r w:rsidR="00E26C2F">
        <w:t>zijn opengelaten. Sociale partners moeten dan opnieuw om de tafel komen. Maar het is onduidelijk of dat dan nog valt onder het hoorrecht.</w:t>
      </w:r>
      <w:r w:rsidR="00313A5D">
        <w:t xml:space="preserve"> Juist in die situatie kan het draagvlak voor de overgang in gevaar komen</w:t>
      </w:r>
      <w:r w:rsidR="00C3043D">
        <w:t xml:space="preserve">, nu het individuele bezwaarrecht </w:t>
      </w:r>
      <w:r w:rsidR="00C449B4">
        <w:t>wordt opgeschort.</w:t>
      </w:r>
    </w:p>
    <w:p w14:paraId="7944E206" w14:textId="1F43846B" w:rsidR="00313A5D" w:rsidRDefault="00313A5D">
      <w:r w:rsidRPr="00C449B4">
        <w:rPr>
          <w:b/>
          <w:bCs/>
        </w:rPr>
        <w:t>Aanbeveling</w:t>
      </w:r>
      <w:r>
        <w:t xml:space="preserve"> Geef </w:t>
      </w:r>
      <w:r w:rsidR="001211AF">
        <w:t>aan hoe sociale partners</w:t>
      </w:r>
      <w:r w:rsidR="009A192D">
        <w:t xml:space="preserve"> in die situatie</w:t>
      </w:r>
      <w:r w:rsidR="001211AF">
        <w:t xml:space="preserve"> de verschillende doelen (uitkering, solidariteitsreserve, compensatie) </w:t>
      </w:r>
      <w:r w:rsidR="009A192D">
        <w:t xml:space="preserve">prioriteren. </w:t>
      </w:r>
    </w:p>
    <w:p w14:paraId="0AD2EF3C" w14:textId="3A691647" w:rsidR="00C449B4" w:rsidRDefault="00C449B4">
      <w:r>
        <w:t xml:space="preserve">De tweede zaak betreft de getrapte prioritering tussen de solidariteitsreserve en de compensatie. </w:t>
      </w:r>
      <w:r w:rsidR="0044588F">
        <w:t xml:space="preserve">Het is de vraag in hoeverre het evenwichtig is dat compensatie hier net een stapje voor de reserve komt. </w:t>
      </w:r>
      <w:r w:rsidR="00646D60" w:rsidRPr="00646D60">
        <w:rPr>
          <w:b/>
          <w:bCs/>
        </w:rPr>
        <w:t>Aanbeveling</w:t>
      </w:r>
      <w:r w:rsidR="00646D60">
        <w:t xml:space="preserve"> </w:t>
      </w:r>
      <w:r w:rsidR="00807A1E">
        <w:t xml:space="preserve">Wij zouden in beginsel die </w:t>
      </w:r>
      <w:proofErr w:type="spellStart"/>
      <w:r w:rsidR="00807A1E">
        <w:t>getraptheid</w:t>
      </w:r>
      <w:proofErr w:type="spellEnd"/>
      <w:r w:rsidR="00807A1E">
        <w:t xml:space="preserve"> omkeren</w:t>
      </w:r>
      <w:r w:rsidR="00646D60">
        <w:t>.</w:t>
      </w:r>
    </w:p>
    <w:p w14:paraId="0DB3AF4C" w14:textId="77777777" w:rsidR="00F21FB6" w:rsidRDefault="00F21FB6"/>
    <w:p w14:paraId="01A45E1E" w14:textId="382E895A" w:rsidR="00F21FB6" w:rsidRDefault="00F21FB6">
      <w:r>
        <w:t>Samenvattend oordeel.</w:t>
      </w:r>
    </w:p>
    <w:p w14:paraId="08A9E507" w14:textId="77B3EA5D" w:rsidR="00F21FB6" w:rsidRDefault="00626247">
      <w:r>
        <w:lastRenderedPageBreak/>
        <w:t xml:space="preserve">Het transitieplan </w:t>
      </w:r>
      <w:r w:rsidR="00F42F62">
        <w:t xml:space="preserve">biedt mogelijkheden om tot een beter pensioen voor de deelnemers te komen. Wij vinden echter dat de </w:t>
      </w:r>
      <w:r w:rsidR="003A1CA1">
        <w:t xml:space="preserve">risico-aversie te absoluut is verwerkt in het voorliggende plan. Echter, wij constateren ook dat er nader wordt gestudeerd op aanpassingen. </w:t>
      </w:r>
      <w:r w:rsidR="0005313B">
        <w:t xml:space="preserve">Wij stellen daarom voor ons oordeel op te schorten tot de resultaten van die studie bekend zijn. Dat kan </w:t>
      </w:r>
      <w:r w:rsidR="00A54E94">
        <w:t xml:space="preserve">gebeuren in de </w:t>
      </w:r>
      <w:r w:rsidR="00194806">
        <w:t xml:space="preserve">voorgeschreven </w:t>
      </w:r>
      <w:r w:rsidR="00A54E94">
        <w:t>terugkoppeling op onze aanbevelingen.</w:t>
      </w:r>
    </w:p>
    <w:p w14:paraId="256FE86A" w14:textId="1427ADA9" w:rsidR="00A54E94" w:rsidRDefault="00A54E94">
      <w:r>
        <w:t>Wij zijn natuurlijk graag bereid</w:t>
      </w:r>
      <w:r w:rsidR="00483F44">
        <w:t xml:space="preserve"> om onze bevindingen nader toe te lichten. U kunt daarvoor contact opnemen met Willem Reijn, 06 50528098. Eric Brendel </w:t>
      </w:r>
      <w:r w:rsidR="00084934">
        <w:t>is na 25 september weer aanwezig.</w:t>
      </w:r>
    </w:p>
    <w:p w14:paraId="4FCA8846" w14:textId="77777777" w:rsidR="00084934" w:rsidRDefault="00084934"/>
    <w:p w14:paraId="110A87A9" w14:textId="3D468550" w:rsidR="00084934" w:rsidRDefault="00084934">
      <w:r>
        <w:t xml:space="preserve">Hoogachtend, </w:t>
      </w:r>
    </w:p>
    <w:p w14:paraId="4F861BFB" w14:textId="77777777" w:rsidR="00AA24DD" w:rsidRDefault="00AA24DD"/>
    <w:p w14:paraId="134C8E93" w14:textId="395E9263" w:rsidR="00AA24DD" w:rsidRDefault="00AA24DD">
      <w:r>
        <w:t>Namens ANBO en KBO-PCOB</w:t>
      </w:r>
    </w:p>
    <w:p w14:paraId="0B9C8E2E" w14:textId="7A4C1B99" w:rsidR="00084934" w:rsidRDefault="00084934">
      <w:r>
        <w:t>Eric Brendel</w:t>
      </w:r>
    </w:p>
    <w:p w14:paraId="23676730" w14:textId="60B89ED8" w:rsidR="00084934" w:rsidRDefault="00084934">
      <w:r>
        <w:t>Willem Reijn</w:t>
      </w:r>
    </w:p>
    <w:p w14:paraId="197EDEB0" w14:textId="391340AC" w:rsidR="00EE76FE" w:rsidRDefault="00EE76FE"/>
    <w:p w14:paraId="7ADCBAB5" w14:textId="77777777" w:rsidR="00646D60" w:rsidRDefault="00646D60"/>
    <w:sectPr w:rsidR="00646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834"/>
    <w:rsid w:val="00004351"/>
    <w:rsid w:val="000373E2"/>
    <w:rsid w:val="0005313B"/>
    <w:rsid w:val="00076FC3"/>
    <w:rsid w:val="00084934"/>
    <w:rsid w:val="000C5539"/>
    <w:rsid w:val="000F1648"/>
    <w:rsid w:val="000F6A47"/>
    <w:rsid w:val="001211AF"/>
    <w:rsid w:val="001244DA"/>
    <w:rsid w:val="00124D43"/>
    <w:rsid w:val="00194806"/>
    <w:rsid w:val="0021585C"/>
    <w:rsid w:val="002309E3"/>
    <w:rsid w:val="00233064"/>
    <w:rsid w:val="002D2903"/>
    <w:rsid w:val="002E1278"/>
    <w:rsid w:val="00313A5D"/>
    <w:rsid w:val="00332C2D"/>
    <w:rsid w:val="00356A26"/>
    <w:rsid w:val="00373C76"/>
    <w:rsid w:val="0039792F"/>
    <w:rsid w:val="003A1CA1"/>
    <w:rsid w:val="003C2C33"/>
    <w:rsid w:val="003F5CFF"/>
    <w:rsid w:val="00404193"/>
    <w:rsid w:val="0041328E"/>
    <w:rsid w:val="0044588F"/>
    <w:rsid w:val="00465CF3"/>
    <w:rsid w:val="00481859"/>
    <w:rsid w:val="00483F44"/>
    <w:rsid w:val="00490084"/>
    <w:rsid w:val="004A785C"/>
    <w:rsid w:val="004B4136"/>
    <w:rsid w:val="004B45D9"/>
    <w:rsid w:val="004F31FE"/>
    <w:rsid w:val="0054243B"/>
    <w:rsid w:val="005653D8"/>
    <w:rsid w:val="005705E9"/>
    <w:rsid w:val="0058287C"/>
    <w:rsid w:val="00586AAE"/>
    <w:rsid w:val="005F4021"/>
    <w:rsid w:val="00626247"/>
    <w:rsid w:val="00646D60"/>
    <w:rsid w:val="00690BBC"/>
    <w:rsid w:val="00693B6E"/>
    <w:rsid w:val="00712247"/>
    <w:rsid w:val="007138D2"/>
    <w:rsid w:val="0077349B"/>
    <w:rsid w:val="007C44A5"/>
    <w:rsid w:val="007C7D56"/>
    <w:rsid w:val="007D16C8"/>
    <w:rsid w:val="00807A1E"/>
    <w:rsid w:val="0082148C"/>
    <w:rsid w:val="00873622"/>
    <w:rsid w:val="008C3084"/>
    <w:rsid w:val="008D37C2"/>
    <w:rsid w:val="00972492"/>
    <w:rsid w:val="0098269F"/>
    <w:rsid w:val="009A192D"/>
    <w:rsid w:val="009E11E1"/>
    <w:rsid w:val="00A2720E"/>
    <w:rsid w:val="00A54E94"/>
    <w:rsid w:val="00AA24DD"/>
    <w:rsid w:val="00AC4F3E"/>
    <w:rsid w:val="00AC7F83"/>
    <w:rsid w:val="00AD3685"/>
    <w:rsid w:val="00AD6444"/>
    <w:rsid w:val="00B23A9E"/>
    <w:rsid w:val="00B54834"/>
    <w:rsid w:val="00B97ACB"/>
    <w:rsid w:val="00BA4922"/>
    <w:rsid w:val="00BC1691"/>
    <w:rsid w:val="00BE585E"/>
    <w:rsid w:val="00BF730C"/>
    <w:rsid w:val="00C23E29"/>
    <w:rsid w:val="00C2433C"/>
    <w:rsid w:val="00C27E40"/>
    <w:rsid w:val="00C3043D"/>
    <w:rsid w:val="00C31973"/>
    <w:rsid w:val="00C449B4"/>
    <w:rsid w:val="00C83FAA"/>
    <w:rsid w:val="00C904B0"/>
    <w:rsid w:val="00CB30C0"/>
    <w:rsid w:val="00D075FF"/>
    <w:rsid w:val="00DE101B"/>
    <w:rsid w:val="00E26C2F"/>
    <w:rsid w:val="00E31F26"/>
    <w:rsid w:val="00E47B55"/>
    <w:rsid w:val="00E51C68"/>
    <w:rsid w:val="00E5497C"/>
    <w:rsid w:val="00E625EC"/>
    <w:rsid w:val="00EB535D"/>
    <w:rsid w:val="00EE76FE"/>
    <w:rsid w:val="00F13E11"/>
    <w:rsid w:val="00F20A56"/>
    <w:rsid w:val="00F21FB6"/>
    <w:rsid w:val="00F42F62"/>
    <w:rsid w:val="00FB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43BCF"/>
  <w15:chartTrackingRefBased/>
  <w15:docId w15:val="{083A9EB5-F94D-4ED9-8011-9A0F4273D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961</Words>
  <Characters>5286</Characters>
  <Application>Microsoft Office Word</Application>
  <DocSecurity>4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Brendel</dc:creator>
  <cp:keywords/>
  <dc:description/>
  <cp:lastModifiedBy>Jurriën Beerda</cp:lastModifiedBy>
  <cp:revision>2</cp:revision>
  <dcterms:created xsi:type="dcterms:W3CDTF">2024-10-21T09:41:00Z</dcterms:created>
  <dcterms:modified xsi:type="dcterms:W3CDTF">2024-10-21T09:41:00Z</dcterms:modified>
</cp:coreProperties>
</file>