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F6F7" w14:textId="7C584631" w:rsidR="00F5316D" w:rsidRPr="009D236C" w:rsidRDefault="00F5316D">
      <w:pPr>
        <w:rPr>
          <w:b/>
          <w:bCs/>
        </w:rPr>
      </w:pPr>
      <w:r w:rsidRPr="009D236C">
        <w:rPr>
          <w:b/>
          <w:bCs/>
        </w:rPr>
        <w:t xml:space="preserve">Aan de sociale partners van </w:t>
      </w:r>
      <w:proofErr w:type="spellStart"/>
      <w:r w:rsidR="00BD464F" w:rsidRPr="009D236C">
        <w:rPr>
          <w:b/>
          <w:bCs/>
        </w:rPr>
        <w:t>B</w:t>
      </w:r>
      <w:r w:rsidRPr="009D236C">
        <w:rPr>
          <w:b/>
          <w:bCs/>
        </w:rPr>
        <w:t>pf</w:t>
      </w:r>
      <w:proofErr w:type="spellEnd"/>
      <w:r w:rsidRPr="009D236C">
        <w:rPr>
          <w:b/>
          <w:bCs/>
        </w:rPr>
        <w:t xml:space="preserve"> </w:t>
      </w:r>
      <w:r w:rsidR="00680F36">
        <w:rPr>
          <w:b/>
          <w:bCs/>
        </w:rPr>
        <w:t>Schilders</w:t>
      </w:r>
    </w:p>
    <w:p w14:paraId="3710D0DF" w14:textId="27E5E7B5" w:rsidR="00F5316D" w:rsidRDefault="00A36BB0">
      <w:r>
        <w:br/>
      </w:r>
      <w:r w:rsidRPr="00BF1B2A">
        <w:rPr>
          <w:b/>
          <w:bCs/>
        </w:rPr>
        <w:t>Onderwerp</w:t>
      </w:r>
      <w:r>
        <w:t xml:space="preserve">: </w:t>
      </w:r>
      <w:r w:rsidR="00BF1B2A">
        <w:tab/>
      </w:r>
      <w:r w:rsidR="00BF1B2A">
        <w:tab/>
      </w:r>
      <w:r w:rsidR="00BF1B2A">
        <w:tab/>
        <w:t>O</w:t>
      </w:r>
      <w:r>
        <w:t xml:space="preserve">ordeel in kader van </w:t>
      </w:r>
      <w:proofErr w:type="spellStart"/>
      <w:r>
        <w:t>h</w:t>
      </w:r>
      <w:r w:rsidR="00F5316D">
        <w:t>oorrecht</w:t>
      </w:r>
      <w:proofErr w:type="spellEnd"/>
      <w:r w:rsidR="00BF1B2A">
        <w:t>,</w:t>
      </w:r>
      <w:r w:rsidR="00F5316D">
        <w:t xml:space="preserve"> </w:t>
      </w:r>
      <w:r w:rsidR="00BF1B2A">
        <w:t xml:space="preserve">uitgeoefend door </w:t>
      </w:r>
      <w:r w:rsidR="00F5316D">
        <w:t>ANBO-PCOB</w:t>
      </w:r>
      <w:r>
        <w:br/>
      </w:r>
      <w:r>
        <w:br/>
      </w:r>
      <w:r w:rsidRPr="00BF1B2A">
        <w:rPr>
          <w:b/>
          <w:bCs/>
        </w:rPr>
        <w:t>Plaats en datum</w:t>
      </w:r>
      <w:r>
        <w:t>:</w:t>
      </w:r>
      <w:r w:rsidR="00BF1B2A">
        <w:tab/>
      </w:r>
      <w:r w:rsidR="00BF1B2A">
        <w:tab/>
      </w:r>
      <w:r w:rsidRPr="00A36BB0">
        <w:t>Woerden, 1</w:t>
      </w:r>
      <w:r w:rsidR="0022572F">
        <w:t>1</w:t>
      </w:r>
      <w:r w:rsidRPr="00A36BB0">
        <w:t xml:space="preserve"> juli  2024</w:t>
      </w:r>
      <w:r w:rsidR="009D236C">
        <w:br/>
      </w:r>
      <w:r w:rsidRPr="00BF1B2A">
        <w:rPr>
          <w:b/>
          <w:bCs/>
        </w:rPr>
        <w:t>Adviseurs ANBO-PCOB</w:t>
      </w:r>
      <w:r>
        <w:t>:</w:t>
      </w:r>
      <w:r w:rsidR="00BF1B2A">
        <w:tab/>
      </w:r>
      <w:r w:rsidR="00F5316D">
        <w:t>Eric Brendel en  Willem Reijn</w:t>
      </w:r>
      <w:r w:rsidR="009D236C">
        <w:tab/>
      </w:r>
      <w:r w:rsidR="009D236C">
        <w:tab/>
      </w:r>
      <w:r w:rsidR="009D236C">
        <w:tab/>
      </w:r>
    </w:p>
    <w:p w14:paraId="6C97CC0B" w14:textId="77777777" w:rsidR="00F5316D" w:rsidRDefault="00F5316D"/>
    <w:p w14:paraId="3FBDEC95" w14:textId="1D2EC359" w:rsidR="00F5316D" w:rsidRDefault="00F5316D">
      <w:r>
        <w:t>Geachte sociale partners,</w:t>
      </w:r>
      <w:r w:rsidR="00A36BB0">
        <w:br/>
      </w:r>
      <w:r w:rsidR="00A36BB0">
        <w:br/>
      </w:r>
      <w:r>
        <w:t xml:space="preserve">Allereerst willen wij u danken voor </w:t>
      </w:r>
      <w:r w:rsidR="0086244B">
        <w:t>het</w:t>
      </w:r>
      <w:r>
        <w:t xml:space="preserve"> goede gesprek d</w:t>
      </w:r>
      <w:r w:rsidR="0086244B">
        <w:t>at</w:t>
      </w:r>
      <w:r>
        <w:t xml:space="preserve"> wij hebben gevoerd </w:t>
      </w:r>
      <w:r w:rsidR="00AF410B">
        <w:t xml:space="preserve">met </w:t>
      </w:r>
      <w:r w:rsidR="00C4570D">
        <w:t xml:space="preserve">een aantal </w:t>
      </w:r>
      <w:r w:rsidR="00AF410B">
        <w:t xml:space="preserve">vertegenwoordigers van </w:t>
      </w:r>
      <w:r w:rsidR="004B45CC" w:rsidRPr="004B45CC">
        <w:t xml:space="preserve"> </w:t>
      </w:r>
      <w:proofErr w:type="spellStart"/>
      <w:r w:rsidR="00EB3659">
        <w:t>B</w:t>
      </w:r>
      <w:r w:rsidR="004B45CC" w:rsidRPr="004B45CC">
        <w:t>pf</w:t>
      </w:r>
      <w:proofErr w:type="spellEnd"/>
      <w:r w:rsidR="004B45CC" w:rsidRPr="004B45CC">
        <w:t xml:space="preserve"> </w:t>
      </w:r>
      <w:r w:rsidR="00AF410B">
        <w:t>Schilders</w:t>
      </w:r>
      <w:r w:rsidR="002B167D">
        <w:t xml:space="preserve">. Ook zijn onze vragen over het concept transitieplan </w:t>
      </w:r>
      <w:r w:rsidR="00B42409">
        <w:t xml:space="preserve"> </w:t>
      </w:r>
      <w:r w:rsidR="00C4570D">
        <w:t xml:space="preserve">door sociale partners </w:t>
      </w:r>
      <w:r w:rsidR="00B42409">
        <w:t>uitgebreid beantwoord</w:t>
      </w:r>
      <w:r w:rsidR="002B167D">
        <w:t xml:space="preserve">, de laatste antwoorden </w:t>
      </w:r>
      <w:r w:rsidR="00D93FA0">
        <w:t xml:space="preserve">hierop hebben we </w:t>
      </w:r>
      <w:r w:rsidR="002B167D">
        <w:t>op 4 juli jongstleden ontvangen</w:t>
      </w:r>
      <w:r w:rsidR="00AF410B">
        <w:t xml:space="preserve">. </w:t>
      </w:r>
      <w:r w:rsidR="00B12FF4">
        <w:t xml:space="preserve">Aanleiding </w:t>
      </w:r>
      <w:r w:rsidR="00C74358">
        <w:t>voor</w:t>
      </w:r>
      <w:r w:rsidR="002B167D">
        <w:t xml:space="preserve"> dit proces</w:t>
      </w:r>
      <w:r w:rsidR="00C74358">
        <w:t xml:space="preserve"> </w:t>
      </w:r>
      <w:r w:rsidR="00B12FF4">
        <w:t xml:space="preserve">was </w:t>
      </w:r>
      <w:r w:rsidR="002B167D">
        <w:t>onze</w:t>
      </w:r>
      <w:r w:rsidR="00B12FF4">
        <w:t xml:space="preserve"> </w:t>
      </w:r>
      <w:r w:rsidR="00F23B47">
        <w:t xml:space="preserve">schriftelijke </w:t>
      </w:r>
      <w:r w:rsidR="00B12FF4">
        <w:t xml:space="preserve">aanmelding </w:t>
      </w:r>
      <w:r w:rsidR="00CA6F0D" w:rsidRPr="00CA6F0D">
        <w:t>op 22 juni 2023</w:t>
      </w:r>
      <w:r w:rsidR="00CA6F0D">
        <w:t xml:space="preserve"> </w:t>
      </w:r>
      <w:r w:rsidR="00B12FF4">
        <w:t xml:space="preserve">voor </w:t>
      </w:r>
      <w:r w:rsidR="000E1F4F">
        <w:t xml:space="preserve">de </w:t>
      </w:r>
      <w:r w:rsidR="00B12FF4">
        <w:t xml:space="preserve">uitoefening van het </w:t>
      </w:r>
      <w:proofErr w:type="spellStart"/>
      <w:r w:rsidR="00B12FF4">
        <w:t>hoorrecht</w:t>
      </w:r>
      <w:proofErr w:type="spellEnd"/>
      <w:r>
        <w:t xml:space="preserve">. </w:t>
      </w:r>
      <w:r w:rsidR="00A36BB0">
        <w:br/>
      </w:r>
      <w:r w:rsidR="00A36BB0">
        <w:br/>
      </w:r>
      <w:r w:rsidR="00A36BB0" w:rsidRPr="00A36BB0">
        <w:t xml:space="preserve">Het </w:t>
      </w:r>
      <w:proofErr w:type="spellStart"/>
      <w:r w:rsidR="00A36BB0" w:rsidRPr="00A36BB0">
        <w:t>hoorrecht</w:t>
      </w:r>
      <w:proofErr w:type="spellEnd"/>
      <w:r w:rsidR="00A36BB0" w:rsidRPr="00A36BB0">
        <w:t xml:space="preserve"> is in het leven geroepen als compensatie van het opschorten van het individuele  bezwaarrecht. Een goede uitoefening van het </w:t>
      </w:r>
      <w:proofErr w:type="spellStart"/>
      <w:r w:rsidR="00A36BB0" w:rsidRPr="00A36BB0">
        <w:t>hoorrecht</w:t>
      </w:r>
      <w:proofErr w:type="spellEnd"/>
      <w:r w:rsidR="00A36BB0" w:rsidRPr="00A36BB0">
        <w:t xml:space="preserve"> kan zorgen voor een breder draagvlak onder de grote transitie en dat is gezien de resultaten van de onderzoeken voor de Publieksmonitor Pensioenen geen overbodige luxe.</w:t>
      </w:r>
      <w:r w:rsidR="00C838F8">
        <w:br/>
      </w:r>
      <w:r w:rsidR="00C838F8">
        <w:br/>
      </w:r>
      <w:r w:rsidR="001C5372">
        <w:t xml:space="preserve">Helaas is er in het proces </w:t>
      </w:r>
      <w:r w:rsidR="00A67F2E">
        <w:t xml:space="preserve">van het </w:t>
      </w:r>
      <w:proofErr w:type="spellStart"/>
      <w:r w:rsidR="00A67F2E">
        <w:t>hoorrecht</w:t>
      </w:r>
      <w:proofErr w:type="spellEnd"/>
      <w:r w:rsidR="00A67F2E">
        <w:t xml:space="preserve"> </w:t>
      </w:r>
      <w:r w:rsidR="00285BF9">
        <w:t xml:space="preserve">bij uw fonds </w:t>
      </w:r>
      <w:r w:rsidR="00521474">
        <w:t xml:space="preserve">een omissie </w:t>
      </w:r>
      <w:r w:rsidR="00B42409">
        <w:t>ontstaan</w:t>
      </w:r>
      <w:r w:rsidR="00285BF9">
        <w:t>. Dit hebben</w:t>
      </w:r>
      <w:r w:rsidR="00521474">
        <w:t xml:space="preserve"> </w:t>
      </w:r>
      <w:r w:rsidR="000009B7">
        <w:t xml:space="preserve">Willem en ondergetekende zich </w:t>
      </w:r>
      <w:r w:rsidR="00521474">
        <w:t xml:space="preserve">pas afgelopen </w:t>
      </w:r>
      <w:r w:rsidR="00EB3659">
        <w:t>week</w:t>
      </w:r>
      <w:r w:rsidR="00521474">
        <w:t xml:space="preserve"> </w:t>
      </w:r>
      <w:r w:rsidR="00A67F2E">
        <w:t xml:space="preserve">gerealiseerd. </w:t>
      </w:r>
      <w:r w:rsidR="00E20843">
        <w:t xml:space="preserve">ANBO-PCOB </w:t>
      </w:r>
      <w:r w:rsidR="00F44600">
        <w:t xml:space="preserve">heeft </w:t>
      </w:r>
      <w:r w:rsidR="0088149B">
        <w:t xml:space="preserve">namelijk </w:t>
      </w:r>
      <w:r w:rsidR="00F44600">
        <w:t xml:space="preserve">nog niet aangetoond dat </w:t>
      </w:r>
      <w:r w:rsidR="00EB3659">
        <w:t>het</w:t>
      </w:r>
      <w:r w:rsidR="00F44600">
        <w:t xml:space="preserve"> representatief genoeg </w:t>
      </w:r>
      <w:r w:rsidR="00EB3659">
        <w:t>is</w:t>
      </w:r>
      <w:r w:rsidR="00F44600">
        <w:t xml:space="preserve"> voor </w:t>
      </w:r>
      <w:proofErr w:type="spellStart"/>
      <w:r w:rsidR="00EB3659">
        <w:t>Bpf</w:t>
      </w:r>
      <w:proofErr w:type="spellEnd"/>
      <w:r w:rsidR="00EB3659">
        <w:t xml:space="preserve"> Schilders</w:t>
      </w:r>
      <w:r w:rsidR="00F44600">
        <w:t xml:space="preserve">. </w:t>
      </w:r>
      <w:r w:rsidR="00EB3659">
        <w:t xml:space="preserve">Bij andere fondsen hebben we dit gerealiseerd door een bestandvergelijking te </w:t>
      </w:r>
      <w:r w:rsidR="0088149B">
        <w:t xml:space="preserve">laten </w:t>
      </w:r>
      <w:r w:rsidR="00EB3659">
        <w:t>maken</w:t>
      </w:r>
      <w:r w:rsidR="00F44600">
        <w:t xml:space="preserve">, maar  </w:t>
      </w:r>
      <w:r w:rsidR="00D31C4C">
        <w:t>blijkbaar</w:t>
      </w:r>
      <w:r w:rsidR="00F44600">
        <w:t xml:space="preserve"> </w:t>
      </w:r>
      <w:r w:rsidR="00D31C4C">
        <w:t xml:space="preserve">is </w:t>
      </w:r>
      <w:r w:rsidR="004344DA">
        <w:t>hierop</w:t>
      </w:r>
      <w:r w:rsidR="00D31C4C">
        <w:t xml:space="preserve"> </w:t>
      </w:r>
      <w:r w:rsidR="00EB3659">
        <w:t xml:space="preserve">bij Schilders </w:t>
      </w:r>
      <w:r w:rsidR="00D31C4C">
        <w:t xml:space="preserve">abusievelijk geen actie ondernomen. </w:t>
      </w:r>
      <w:r w:rsidR="00C838F8">
        <w:t xml:space="preserve">Ook vanuit uw fonds </w:t>
      </w:r>
      <w:r w:rsidR="009428B8">
        <w:t>is</w:t>
      </w:r>
      <w:r w:rsidR="00C838F8">
        <w:t xml:space="preserve"> hier</w:t>
      </w:r>
      <w:r w:rsidR="004344DA">
        <w:t>over</w:t>
      </w:r>
      <w:r w:rsidR="00C838F8">
        <w:t xml:space="preserve"> geen rappel </w:t>
      </w:r>
      <w:r w:rsidR="00285BF9">
        <w:t xml:space="preserve">naar ons </w:t>
      </w:r>
      <w:r w:rsidR="00C838F8">
        <w:t xml:space="preserve">gekomen. Overigens hebben wij bij meerdere andere </w:t>
      </w:r>
      <w:proofErr w:type="spellStart"/>
      <w:r w:rsidR="00C838F8">
        <w:t>bedrijfstak</w:t>
      </w:r>
      <w:r w:rsidR="000009B7">
        <w:t>-</w:t>
      </w:r>
      <w:r w:rsidR="00C838F8">
        <w:t>pensioenfondsen</w:t>
      </w:r>
      <w:proofErr w:type="spellEnd"/>
      <w:r w:rsidR="00C838F8">
        <w:t xml:space="preserve"> </w:t>
      </w:r>
      <w:r w:rsidR="00C838F8" w:rsidRPr="00C838F8">
        <w:t xml:space="preserve">de ervaring </w:t>
      </w:r>
      <w:r w:rsidR="00C838F8">
        <w:t>gehad dat zij deze formele eis van representativiteit los</w:t>
      </w:r>
      <w:r w:rsidR="0088149B">
        <w:t>lieten</w:t>
      </w:r>
      <w:r w:rsidR="004344DA">
        <w:t xml:space="preserve">. </w:t>
      </w:r>
      <w:r w:rsidR="00C838F8">
        <w:t xml:space="preserve">ANBO-PCOB </w:t>
      </w:r>
      <w:r w:rsidR="004344DA">
        <w:t xml:space="preserve">werd </w:t>
      </w:r>
      <w:r w:rsidR="009428B8">
        <w:t xml:space="preserve">dan </w:t>
      </w:r>
      <w:r w:rsidR="00C838F8">
        <w:t xml:space="preserve">sowieso </w:t>
      </w:r>
      <w:r w:rsidR="0088149B">
        <w:t>voor</w:t>
      </w:r>
      <w:r w:rsidR="00C838F8">
        <w:t xml:space="preserve"> het </w:t>
      </w:r>
      <w:proofErr w:type="spellStart"/>
      <w:r w:rsidR="00C838F8">
        <w:t>hoorrecht</w:t>
      </w:r>
      <w:proofErr w:type="spellEnd"/>
      <w:r w:rsidR="00C838F8">
        <w:t xml:space="preserve"> </w:t>
      </w:r>
      <w:r w:rsidR="004344DA">
        <w:t>toegelaten</w:t>
      </w:r>
      <w:r w:rsidR="00C838F8">
        <w:t xml:space="preserve">. </w:t>
      </w:r>
      <w:r w:rsidR="0088149B">
        <w:t>Dit w</w:t>
      </w:r>
      <w:r w:rsidR="00AB4D32">
        <w:t>erd</w:t>
      </w:r>
      <w:r w:rsidR="0088149B">
        <w:t xml:space="preserve"> m</w:t>
      </w:r>
      <w:r w:rsidR="00C838F8">
        <w:t xml:space="preserve">ede </w:t>
      </w:r>
      <w:r w:rsidR="00AB4D32">
        <w:t>gedaan omdat</w:t>
      </w:r>
      <w:r w:rsidR="00C838F8">
        <w:t xml:space="preserve"> wij </w:t>
      </w:r>
      <w:r w:rsidR="0088149B">
        <w:t xml:space="preserve">bij zo’n fonds </w:t>
      </w:r>
      <w:r w:rsidR="00C838F8">
        <w:t xml:space="preserve">de enige vereniging van gepensioneerden waren die zich </w:t>
      </w:r>
      <w:r w:rsidR="009428B8">
        <w:t xml:space="preserve">had </w:t>
      </w:r>
      <w:r w:rsidR="00C838F8">
        <w:t>aan</w:t>
      </w:r>
      <w:r w:rsidR="009428B8">
        <w:t>ge</w:t>
      </w:r>
      <w:r w:rsidR="00C838F8">
        <w:t xml:space="preserve">meld voor het </w:t>
      </w:r>
      <w:proofErr w:type="spellStart"/>
      <w:r w:rsidR="00C838F8">
        <w:t>hoorrecht</w:t>
      </w:r>
      <w:proofErr w:type="spellEnd"/>
      <w:r w:rsidR="00C838F8">
        <w:t xml:space="preserve">. </w:t>
      </w:r>
      <w:r w:rsidR="0088149B">
        <w:t xml:space="preserve">Voor zover we weten was ANBO-PCOB ook bij uw fonds de enige vereniging hiervoor. </w:t>
      </w:r>
      <w:r w:rsidR="00C838F8">
        <w:br/>
      </w:r>
      <w:r w:rsidR="00C838F8">
        <w:br/>
      </w:r>
      <w:r w:rsidR="00B42409">
        <w:t xml:space="preserve">Een kenmerk van het uitoefenen van het (formele) </w:t>
      </w:r>
      <w:proofErr w:type="spellStart"/>
      <w:r w:rsidR="00B42409">
        <w:t>hoorrecht</w:t>
      </w:r>
      <w:proofErr w:type="spellEnd"/>
      <w:r w:rsidR="00B42409">
        <w:t xml:space="preserve"> is dat de betreffende vereniging een oordeel mag geven over het concept transitieplan. Hierop moeten sociale partners dan een schriftelijke reactie geven waarin is vermeld wat zij met het oordeel hebben gedaan. </w:t>
      </w:r>
      <w:r w:rsidR="00542049">
        <w:t xml:space="preserve">Bij </w:t>
      </w:r>
      <w:proofErr w:type="spellStart"/>
      <w:r w:rsidR="00542049">
        <w:t>Bpf</w:t>
      </w:r>
      <w:proofErr w:type="spellEnd"/>
      <w:r w:rsidR="00542049">
        <w:t xml:space="preserve"> Schilders hebben s</w:t>
      </w:r>
      <w:r w:rsidR="00B42409">
        <w:t>ociale partners ANBO-PCOB bedankt voor hun inbreng</w:t>
      </w:r>
      <w:r w:rsidR="00542049">
        <w:t>. Naar</w:t>
      </w:r>
      <w:r w:rsidR="00B42409">
        <w:t xml:space="preserve"> aanleiding daarvan </w:t>
      </w:r>
      <w:r w:rsidR="00542049">
        <w:t xml:space="preserve">zijn </w:t>
      </w:r>
      <w:r w:rsidR="00B42409">
        <w:t>enkele wijzigingen in het transitieplan doorgevoerd</w:t>
      </w:r>
      <w:r w:rsidR="00542049">
        <w:t xml:space="preserve">, </w:t>
      </w:r>
      <w:r w:rsidR="00E31EEE">
        <w:t>ANBO-PCOB dank</w:t>
      </w:r>
      <w:r w:rsidR="00A36BB0">
        <w:t>t</w:t>
      </w:r>
      <w:r w:rsidR="00E31EEE">
        <w:t xml:space="preserve"> sociale partners hiervoor. Maar </w:t>
      </w:r>
      <w:r w:rsidR="008C38AF">
        <w:t xml:space="preserve">gezien de tekstpassage in het transitieplan </w:t>
      </w:r>
      <w:r w:rsidR="00E31EEE">
        <w:t>lijkt</w:t>
      </w:r>
      <w:r w:rsidR="008C38AF">
        <w:t xml:space="preserve"> het</w:t>
      </w:r>
      <w:r w:rsidR="00E31EEE">
        <w:t xml:space="preserve"> erop dat sociale partners geen belang meer hechten aan ons uiteindelijke oordeel, dat betreuren we.  </w:t>
      </w:r>
    </w:p>
    <w:p w14:paraId="13B6B7C0" w14:textId="53B16898" w:rsidR="009D236C" w:rsidRDefault="00F5316D">
      <w:r>
        <w:t>Hoewel wij allereerst kijken naar de positie van (aanstaand) gepensioneerden bij de transitie</w:t>
      </w:r>
      <w:r w:rsidR="00D03D5F">
        <w:t>,</w:t>
      </w:r>
      <w:r w:rsidR="00224DD1">
        <w:t xml:space="preserve"> staan wij als ANBO-PCOB voor een goed pensioen voor alle generaties. Bij ons oordeel letten wij dus op het evenwicht tussen de verschillende generaties. Daarnaast heeft koopkracht onze bijzondere belangstelling. Met een terugtrekkende overheid zijn ouderen voor zorg en passende huisvesting steeds meer op zichzelf aangewezen. Een koopkrachtig pensioen is daarbij een conditio sine qua non.</w:t>
      </w:r>
    </w:p>
    <w:p w14:paraId="3EBEEEFE" w14:textId="35763AB3" w:rsidR="00966A9F" w:rsidRPr="00285492" w:rsidRDefault="00A96C07">
      <w:pPr>
        <w:rPr>
          <w:b/>
          <w:bCs/>
        </w:rPr>
      </w:pPr>
      <w:r>
        <w:rPr>
          <w:b/>
          <w:bCs/>
        </w:rPr>
        <w:lastRenderedPageBreak/>
        <w:br/>
      </w:r>
      <w:r w:rsidR="00966A9F" w:rsidRPr="00285492">
        <w:rPr>
          <w:b/>
          <w:bCs/>
        </w:rPr>
        <w:t>Koopkracht</w:t>
      </w:r>
    </w:p>
    <w:p w14:paraId="36152B72" w14:textId="24E579B3" w:rsidR="00ED2DDA" w:rsidRDefault="00E1114E">
      <w:r>
        <w:t>E</w:t>
      </w:r>
      <w:r w:rsidRPr="00E1114E">
        <w:t>en koopkrachtig</w:t>
      </w:r>
      <w:r w:rsidR="00867620">
        <w:t>e</w:t>
      </w:r>
      <w:r w:rsidRPr="00E1114E">
        <w:t xml:space="preserve"> pensioen</w:t>
      </w:r>
      <w:r w:rsidR="00867620">
        <w:t>uitkering</w:t>
      </w:r>
      <w:r w:rsidRPr="00E1114E">
        <w:t xml:space="preserve"> </w:t>
      </w:r>
      <w:r>
        <w:t xml:space="preserve">is </w:t>
      </w:r>
      <w:r w:rsidRPr="00E1114E">
        <w:t xml:space="preserve">een van de belangrijkste doelen </w:t>
      </w:r>
      <w:r>
        <w:t>van de transitie</w:t>
      </w:r>
      <w:r w:rsidRPr="00E1114E">
        <w:t>, zo heeft oud-minister Schouten in januari nog eens herhaald bij het WTP-debat in de Tweede Kamer.</w:t>
      </w:r>
      <w:r w:rsidR="00966A9F">
        <w:t xml:space="preserve"> Daarbij is het de vrijheid van soci</w:t>
      </w:r>
      <w:r w:rsidR="00ED2DDA">
        <w:t xml:space="preserve">ale partners en fondsbestuur </w:t>
      </w:r>
      <w:r w:rsidR="00966A9F">
        <w:t>om op basis van het risico</w:t>
      </w:r>
      <w:r>
        <w:t>-</w:t>
      </w:r>
      <w:r w:rsidR="00966A9F">
        <w:t>bereidheidsonderzoek</w:t>
      </w:r>
      <w:r w:rsidR="00ED2DDA">
        <w:t xml:space="preserve"> (ondersteun</w:t>
      </w:r>
      <w:r w:rsidR="00AF24AC">
        <w:t>d</w:t>
      </w:r>
      <w:r w:rsidR="00ED2DDA">
        <w:t xml:space="preserve"> door wetenschappelijke inzichten en deelnemerskennis)</w:t>
      </w:r>
      <w:r w:rsidR="00966A9F">
        <w:t xml:space="preserve"> dit doel in meerdere of mindere mate te willen realiseren.</w:t>
      </w:r>
    </w:p>
    <w:p w14:paraId="359DD033" w14:textId="71E4A889" w:rsidR="00365A92" w:rsidRPr="0043488B" w:rsidRDefault="00966A9F">
      <w:pPr>
        <w:rPr>
          <w:b/>
          <w:bCs/>
        </w:rPr>
      </w:pPr>
      <w:r>
        <w:t xml:space="preserve">In het transitieplan </w:t>
      </w:r>
      <w:r w:rsidR="00702A47">
        <w:t xml:space="preserve">van </w:t>
      </w:r>
      <w:proofErr w:type="spellStart"/>
      <w:r w:rsidR="00702A47">
        <w:t>Bpf</w:t>
      </w:r>
      <w:proofErr w:type="spellEnd"/>
      <w:r w:rsidR="00702A47">
        <w:t xml:space="preserve"> </w:t>
      </w:r>
      <w:r w:rsidR="0022572F">
        <w:t>Schilders</w:t>
      </w:r>
      <w:r w:rsidR="00702A47">
        <w:t xml:space="preserve"> </w:t>
      </w:r>
      <w:r w:rsidR="00971400">
        <w:t>i</w:t>
      </w:r>
      <w:r w:rsidR="00306AE6">
        <w:t xml:space="preserve">s </w:t>
      </w:r>
      <w:r w:rsidR="0050300F">
        <w:t xml:space="preserve">in een tabel </w:t>
      </w:r>
      <w:r w:rsidR="00306AE6">
        <w:t xml:space="preserve">de </w:t>
      </w:r>
      <w:r w:rsidR="0022572F">
        <w:t xml:space="preserve">ontwikkeling van de </w:t>
      </w:r>
      <w:r w:rsidR="00867620">
        <w:t>“</w:t>
      </w:r>
      <w:r w:rsidR="00306AE6" w:rsidRPr="00867620">
        <w:t xml:space="preserve">koopkracht van </w:t>
      </w:r>
      <w:r w:rsidR="0022572F" w:rsidRPr="00867620">
        <w:t>een 70-jarige gepensioneerde</w:t>
      </w:r>
      <w:r w:rsidR="00867620">
        <w:t>”</w:t>
      </w:r>
      <w:r w:rsidR="0022572F">
        <w:t xml:space="preserve"> weergegeven</w:t>
      </w:r>
      <w:r w:rsidR="00306AE6">
        <w:t xml:space="preserve">. </w:t>
      </w:r>
      <w:r w:rsidR="0050300F">
        <w:t>I</w:t>
      </w:r>
      <w:r w:rsidR="0022572F">
        <w:t>n de mediaan</w:t>
      </w:r>
      <w:r w:rsidR="0050300F">
        <w:t xml:space="preserve"> is op </w:t>
      </w:r>
      <w:r w:rsidR="00D735EE">
        <w:t xml:space="preserve">korte en </w:t>
      </w:r>
      <w:r w:rsidR="00C75685">
        <w:t>middel</w:t>
      </w:r>
      <w:r w:rsidR="0050300F">
        <w:t>lange termijn</w:t>
      </w:r>
      <w:r w:rsidR="00C75685">
        <w:t xml:space="preserve"> in de SPR de volgende ontwikkeling van de koopkracht af te lezen: </w:t>
      </w:r>
      <w:r w:rsidR="00C75685">
        <w:br/>
        <w:t xml:space="preserve">- Na 1 jaar is dit </w:t>
      </w:r>
      <w:r w:rsidR="00C75685" w:rsidRPr="00C75685">
        <w:rPr>
          <w:b/>
          <w:bCs/>
        </w:rPr>
        <w:t>109,5%</w:t>
      </w:r>
      <w:r w:rsidR="00C75685">
        <w:t xml:space="preserve">. Deze stijging van de koopkracht is </w:t>
      </w:r>
      <w:r w:rsidR="00867620">
        <w:t xml:space="preserve">volledig </w:t>
      </w:r>
      <w:r w:rsidR="00C75685">
        <w:t xml:space="preserve">te danken aan het uitgangspunt dat bij invaren de dekkingsgraad op 130% is gesteld. </w:t>
      </w:r>
      <w:r w:rsidR="00D735EE">
        <w:t>Daardoor wordt bij invaren een deel van het collectieve vermogen</w:t>
      </w:r>
      <w:r w:rsidR="00907E92">
        <w:t xml:space="preserve">, namelijk 9,5%, </w:t>
      </w:r>
      <w:r w:rsidR="00D735EE">
        <w:t xml:space="preserve">toebedeeld aan </w:t>
      </w:r>
      <w:r w:rsidR="00907E92">
        <w:t>het</w:t>
      </w:r>
      <w:r w:rsidR="00D735EE">
        <w:t xml:space="preserve"> persoonlijke pensioenvermogen.</w:t>
      </w:r>
      <w:r w:rsidR="00907E92">
        <w:t xml:space="preserve"> Per eind mei 2024 is de actuele dekkingsgraad bij </w:t>
      </w:r>
      <w:proofErr w:type="spellStart"/>
      <w:r w:rsidR="00907E92">
        <w:t>Bpf</w:t>
      </w:r>
      <w:proofErr w:type="spellEnd"/>
      <w:r w:rsidR="00907E92">
        <w:t xml:space="preserve"> Schilders vastgesteld op 131,2%, dus dat is een ruim en comfortabel niveau. </w:t>
      </w:r>
      <w:r w:rsidR="00C75685">
        <w:br/>
        <w:t xml:space="preserve">- Na 10 jaar is de koopkracht </w:t>
      </w:r>
      <w:r w:rsidR="00D735EE">
        <w:t xml:space="preserve">echter </w:t>
      </w:r>
      <w:r w:rsidR="00C75685">
        <w:t>gedaald tot</w:t>
      </w:r>
      <w:r w:rsidR="00867620">
        <w:t xml:space="preserve"> slechts </w:t>
      </w:r>
      <w:r w:rsidR="00C75685" w:rsidRPr="00C75685">
        <w:rPr>
          <w:b/>
          <w:bCs/>
        </w:rPr>
        <w:t>103,5%</w:t>
      </w:r>
      <w:r w:rsidR="00C75685">
        <w:t>.</w:t>
      </w:r>
      <w:r w:rsidR="004754C6">
        <w:t xml:space="preserve"> </w:t>
      </w:r>
      <w:r w:rsidR="00E3444B">
        <w:br/>
        <w:t xml:space="preserve">- Na 15 jaar stijgt het naar </w:t>
      </w:r>
      <w:r w:rsidR="00E3444B" w:rsidRPr="00E3444B">
        <w:rPr>
          <w:b/>
          <w:bCs/>
        </w:rPr>
        <w:t>106,3%</w:t>
      </w:r>
      <w:r w:rsidR="00E3444B">
        <w:t xml:space="preserve">, maar dus nog steeds onder het niveau van jaar 1. </w:t>
      </w:r>
      <w:r w:rsidR="00907E92">
        <w:br/>
      </w:r>
      <w:r w:rsidR="00907E92">
        <w:br/>
        <w:t xml:space="preserve">Conclusie; </w:t>
      </w:r>
      <w:r w:rsidR="00D735EE">
        <w:t xml:space="preserve">de pensioenuitkeringen </w:t>
      </w:r>
      <w:r w:rsidR="00907E92">
        <w:t xml:space="preserve">kunnen </w:t>
      </w:r>
      <w:r w:rsidR="00D735EE">
        <w:t>in deze periode</w:t>
      </w:r>
      <w:r w:rsidR="00E3444B">
        <w:t>n</w:t>
      </w:r>
      <w:r w:rsidR="00D735EE">
        <w:t xml:space="preserve"> een gemiddelde inflatie van 2% per jaar niet bijhouden. Ofwel </w:t>
      </w:r>
      <w:r w:rsidR="00907E92">
        <w:t xml:space="preserve">er is sprake van </w:t>
      </w:r>
      <w:r w:rsidR="00E3444B">
        <w:t>beperkt</w:t>
      </w:r>
      <w:r w:rsidR="00907E92">
        <w:t xml:space="preserve"> </w:t>
      </w:r>
      <w:r w:rsidR="005B5FB1">
        <w:t>koopkracht</w:t>
      </w:r>
      <w:r w:rsidR="00907E92">
        <w:t>ige</w:t>
      </w:r>
      <w:r w:rsidR="005B5FB1">
        <w:t xml:space="preserve"> pensioenuitkering</w:t>
      </w:r>
      <w:r w:rsidR="00907E92">
        <w:t>.</w:t>
      </w:r>
      <w:r w:rsidR="005B5FB1">
        <w:t xml:space="preserve"> </w:t>
      </w:r>
      <w:r w:rsidR="00E3444B">
        <w:t xml:space="preserve">Het zou </w:t>
      </w:r>
      <w:r w:rsidR="00867620">
        <w:t>sociale partners</w:t>
      </w:r>
      <w:r w:rsidR="00E3444B">
        <w:t xml:space="preserve"> sieren om dit te repareren, zodat de inflatie naar verwachting  wel kan worden bijgehouden</w:t>
      </w:r>
      <w:r w:rsidR="00867620">
        <w:t xml:space="preserve"> in het mediane scenario</w:t>
      </w:r>
      <w:r w:rsidR="00E3444B">
        <w:t>.</w:t>
      </w:r>
      <w:r w:rsidR="00CD349D">
        <w:t xml:space="preserve"> </w:t>
      </w:r>
      <w:r w:rsidR="00D735EE">
        <w:br/>
      </w:r>
      <w:r w:rsidR="00E1114E">
        <w:br/>
      </w:r>
      <w:r w:rsidR="00971400">
        <w:br/>
      </w:r>
      <w:r w:rsidR="000E323B" w:rsidRPr="0043488B">
        <w:rPr>
          <w:b/>
          <w:bCs/>
        </w:rPr>
        <w:t>Invaren</w:t>
      </w:r>
    </w:p>
    <w:p w14:paraId="45CA9410" w14:textId="2A6BABB9" w:rsidR="00365A92" w:rsidRDefault="00644EDC">
      <w:r>
        <w:t xml:space="preserve">Bij het invaren gaat het om een evenwichtige toedeling van het fondsvermogen, in het oog houdend de </w:t>
      </w:r>
      <w:r w:rsidR="00EE46CE">
        <w:t>doelen die men nastreeft.</w:t>
      </w:r>
    </w:p>
    <w:p w14:paraId="4648605E" w14:textId="217CAED8" w:rsidR="001879CA" w:rsidRDefault="00986F0A">
      <w:r>
        <w:t>Een aantal</w:t>
      </w:r>
      <w:r w:rsidR="00EE46CE">
        <w:t xml:space="preserve"> keuzes van sociale partners kunnen wij in grote lijnen volgen. </w:t>
      </w:r>
      <w:r w:rsidR="005D79D1">
        <w:t>Bijvoorbeeld de keuze om een deel van het fondsvermogen te gebruiken voor de compensatie afschaffing doorsneesystematiek</w:t>
      </w:r>
      <w:r w:rsidR="00E3444B">
        <w:t>, of</w:t>
      </w:r>
      <w:r w:rsidR="005D79D1">
        <w:t xml:space="preserve"> </w:t>
      </w:r>
      <w:r w:rsidR="007B1A68">
        <w:t xml:space="preserve">voor </w:t>
      </w:r>
      <w:r w:rsidR="005D79D1">
        <w:t xml:space="preserve">het aanleggen van een solidariteitsreserve. </w:t>
      </w:r>
      <w:r w:rsidR="00EE46CE">
        <w:t xml:space="preserve">Maar wij constateren </w:t>
      </w:r>
      <w:r w:rsidR="005D79D1">
        <w:t xml:space="preserve">ook </w:t>
      </w:r>
      <w:r w:rsidR="00EE46CE">
        <w:t xml:space="preserve">dat de indexatie-achterstand op </w:t>
      </w:r>
      <w:r w:rsidR="00E3444B">
        <w:t>slechts beperkte</w:t>
      </w:r>
      <w:r w:rsidR="00EE46CE">
        <w:t xml:space="preserve"> wijze is meegenomen</w:t>
      </w:r>
      <w:r w:rsidR="009A5CC3">
        <w:t xml:space="preserve">. </w:t>
      </w:r>
      <w:r>
        <w:t xml:space="preserve">Daarnaast </w:t>
      </w:r>
      <w:r w:rsidR="00971400">
        <w:t xml:space="preserve">is de keuze om </w:t>
      </w:r>
      <w:r w:rsidR="007F7BDB">
        <w:t>in</w:t>
      </w:r>
      <w:r w:rsidR="00971400">
        <w:t xml:space="preserve"> de standaardmethode </w:t>
      </w:r>
      <w:r w:rsidR="00E3444B">
        <w:t xml:space="preserve">bij </w:t>
      </w:r>
      <w:r w:rsidR="00E3444B" w:rsidRPr="00E3444B">
        <w:t xml:space="preserve">een hogere dekkingsgraad </w:t>
      </w:r>
      <w:r w:rsidR="00971400">
        <w:t xml:space="preserve">een spreidingstermijn van 10 jaar </w:t>
      </w:r>
      <w:r w:rsidR="00E3444B">
        <w:t xml:space="preserve">of langer </w:t>
      </w:r>
      <w:r w:rsidR="00971400">
        <w:t xml:space="preserve">te </w:t>
      </w:r>
      <w:r w:rsidR="00E3444B">
        <w:t>hanteren</w:t>
      </w:r>
      <w:r w:rsidR="00971400">
        <w:t xml:space="preserve"> </w:t>
      </w:r>
      <w:r w:rsidR="005D79D1">
        <w:t xml:space="preserve">voor ons </w:t>
      </w:r>
      <w:r w:rsidR="00971400">
        <w:t xml:space="preserve">onbegrijpelijk. </w:t>
      </w:r>
    </w:p>
    <w:p w14:paraId="64A12B84" w14:textId="03C80E4A" w:rsidR="00E84325" w:rsidRDefault="000851D9">
      <w:r w:rsidRPr="000851D9">
        <w:rPr>
          <w:i/>
          <w:iCs/>
        </w:rPr>
        <w:t>Indexatie-achterstand</w:t>
      </w:r>
      <w:r>
        <w:t>; a</w:t>
      </w:r>
      <w:r w:rsidR="00E84325">
        <w:t xml:space="preserve">ls sociale partners de problematiek </w:t>
      </w:r>
      <w:r w:rsidR="00485754">
        <w:t xml:space="preserve">van </w:t>
      </w:r>
      <w:r w:rsidR="008B3B97">
        <w:t xml:space="preserve">de </w:t>
      </w:r>
      <w:r w:rsidR="00485754">
        <w:t xml:space="preserve">indexatie-achterstand </w:t>
      </w:r>
      <w:r w:rsidR="00E84325">
        <w:t xml:space="preserve">onvoldoende adresseren, zal de onevenwichtigheid van het FTK (niet indexeren was het grootste probleem van </w:t>
      </w:r>
      <w:r w:rsidR="00904969">
        <w:t>het FTK) in het nieuwe systeem voor de eeuwigheid stollen.</w:t>
      </w:r>
      <w:r w:rsidR="00485754">
        <w:t xml:space="preserve"> In het plan van </w:t>
      </w:r>
      <w:proofErr w:type="spellStart"/>
      <w:r w:rsidR="00485754">
        <w:t>Bpf</w:t>
      </w:r>
      <w:proofErr w:type="spellEnd"/>
      <w:r w:rsidR="00485754">
        <w:t xml:space="preserve"> Schilders wordt pas vanaf een dekkingsgraad </w:t>
      </w:r>
      <w:r w:rsidR="00675E8D">
        <w:t>boven de</w:t>
      </w:r>
      <w:r w:rsidR="00485754">
        <w:t xml:space="preserve"> 130% enige aandacht gegeven aan </w:t>
      </w:r>
      <w:r>
        <w:t xml:space="preserve">deze achterstand. Bovendien wordt </w:t>
      </w:r>
      <w:r w:rsidR="00675E8D">
        <w:t>hier</w:t>
      </w:r>
      <w:r>
        <w:t xml:space="preserve"> niet gericht </w:t>
      </w:r>
      <w:r w:rsidR="000009B7">
        <w:t xml:space="preserve">voor </w:t>
      </w:r>
      <w:r>
        <w:t>gecompenseerd, terwijl de gepensioneerden over het algemeen hiervan het grootste nadeel hebben ondervonden.</w:t>
      </w:r>
      <w:r w:rsidR="00BE2104">
        <w:t xml:space="preserve"> </w:t>
      </w:r>
    </w:p>
    <w:p w14:paraId="0B88E5E6" w14:textId="77C47E14" w:rsidR="00AA0927" w:rsidRDefault="00BE2104">
      <w:r w:rsidRPr="00BE2104">
        <w:rPr>
          <w:i/>
          <w:iCs/>
        </w:rPr>
        <w:t xml:space="preserve">Spreidingstermijn </w:t>
      </w:r>
      <w:r w:rsidR="00675E8D">
        <w:rPr>
          <w:i/>
          <w:iCs/>
        </w:rPr>
        <w:t xml:space="preserve">standaardmethode </w:t>
      </w:r>
      <w:r w:rsidRPr="00BE2104">
        <w:rPr>
          <w:i/>
          <w:iCs/>
        </w:rPr>
        <w:t>bij hoge dekkingsgraad</w:t>
      </w:r>
      <w:r>
        <w:t>; h</w:t>
      </w:r>
      <w:r w:rsidR="00C477DA">
        <w:t>et hanteren van</w:t>
      </w:r>
      <w:r w:rsidR="00971400">
        <w:t xml:space="preserve"> een </w:t>
      </w:r>
      <w:r w:rsidR="006011EE">
        <w:t>spreiding</w:t>
      </w:r>
      <w:r w:rsidR="00971400">
        <w:t>stermijn</w:t>
      </w:r>
      <w:r w:rsidR="00C477DA">
        <w:t xml:space="preserve"> </w:t>
      </w:r>
      <w:r w:rsidR="00675E8D">
        <w:t xml:space="preserve">van 10 jaar of langer </w:t>
      </w:r>
      <w:r w:rsidR="00C477DA">
        <w:t xml:space="preserve">in de standaardmethode </w:t>
      </w:r>
      <w:r w:rsidR="005D79D1">
        <w:t>betekent dat</w:t>
      </w:r>
      <w:r w:rsidR="00971400">
        <w:t xml:space="preserve"> de </w:t>
      </w:r>
      <w:r w:rsidR="00AC701D">
        <w:t xml:space="preserve">oudere </w:t>
      </w:r>
      <w:r w:rsidR="00971400">
        <w:t>deelnemers</w:t>
      </w:r>
      <w:r w:rsidR="00675E8D">
        <w:t>,</w:t>
      </w:r>
      <w:r w:rsidR="00971400">
        <w:t xml:space="preserve"> dus v</w:t>
      </w:r>
      <w:r w:rsidR="0000256D">
        <w:t>eel</w:t>
      </w:r>
      <w:r w:rsidR="00971400">
        <w:t>al de gepensioneerden</w:t>
      </w:r>
      <w:r w:rsidR="00675E8D">
        <w:t>,</w:t>
      </w:r>
      <w:r w:rsidR="00971400">
        <w:t xml:space="preserve"> veel minder van het vermogen meekrijgen </w:t>
      </w:r>
      <w:r w:rsidR="0000256D">
        <w:t>dan de jongeren</w:t>
      </w:r>
      <w:r w:rsidR="00971400">
        <w:t xml:space="preserve">. </w:t>
      </w:r>
      <w:r w:rsidR="00675E8D">
        <w:t xml:space="preserve">Als argument verwijzen sociale partners naar de werking van het FTK, maar dat systeem willen we juist verlaten. Daarnaast is het grootste deel van het vermogen dat resteert na invulling van alle doelen juist vooral ontstaan uit en door het vermogen dat de gepensioneerden </w:t>
      </w:r>
      <w:r w:rsidR="00675E8D">
        <w:lastRenderedPageBreak/>
        <w:t xml:space="preserve">hebben opgebracht. </w:t>
      </w:r>
      <w:r w:rsidR="00971400">
        <w:t>D</w:t>
      </w:r>
      <w:r w:rsidR="00675E8D">
        <w:t>aarom</w:t>
      </w:r>
      <w:r w:rsidR="00971400">
        <w:t xml:space="preserve"> bestempelen we </w:t>
      </w:r>
      <w:r w:rsidR="000F4CEB">
        <w:t>deze lange spreidingstermijn</w:t>
      </w:r>
      <w:r w:rsidR="00971400">
        <w:t xml:space="preserve"> als onevenwichtig</w:t>
      </w:r>
      <w:r w:rsidR="0000256D">
        <w:t xml:space="preserve"> en niet uitlegbaar</w:t>
      </w:r>
      <w:r w:rsidR="00971400">
        <w:t xml:space="preserve">. Er is geen reden waarom de gepensioneerden </w:t>
      </w:r>
      <w:r w:rsidR="0000256D">
        <w:t xml:space="preserve">op basis van leeftijd </w:t>
      </w:r>
      <w:r w:rsidR="00971400">
        <w:t xml:space="preserve">minder van het </w:t>
      </w:r>
      <w:r w:rsidR="0000256D">
        <w:t xml:space="preserve">vermogen mee zouden moeten krijgen. Veel bedrijfstakpensioenfondsen hanteren daarom een spreidingstermijn van 1 jaar. </w:t>
      </w:r>
      <w:r w:rsidR="005D79D1">
        <w:t>Gezien</w:t>
      </w:r>
      <w:r w:rsidR="00AC701D">
        <w:t xml:space="preserve"> de</w:t>
      </w:r>
      <w:r w:rsidR="005D79D1">
        <w:t xml:space="preserve"> relatief</w:t>
      </w:r>
      <w:r w:rsidR="00AC701D">
        <w:t xml:space="preserve"> hoge</w:t>
      </w:r>
      <w:r w:rsidR="0000256D">
        <w:t xml:space="preserve"> stand van de actuele dekkingsgraad </w:t>
      </w:r>
      <w:r w:rsidR="000F4CEB">
        <w:t xml:space="preserve">bij </w:t>
      </w:r>
      <w:proofErr w:type="spellStart"/>
      <w:r w:rsidR="0000256D">
        <w:t>Bp</w:t>
      </w:r>
      <w:r w:rsidR="000F4CEB">
        <w:t>f</w:t>
      </w:r>
      <w:proofErr w:type="spellEnd"/>
      <w:r w:rsidR="0000256D">
        <w:t xml:space="preserve"> </w:t>
      </w:r>
      <w:r w:rsidR="000F4CEB">
        <w:t>Schilders</w:t>
      </w:r>
      <w:r w:rsidR="0000256D">
        <w:t xml:space="preserve"> </w:t>
      </w:r>
      <w:r w:rsidR="00AC701D">
        <w:t xml:space="preserve">is het des te belangrijker om de spreidingstermijn </w:t>
      </w:r>
      <w:r w:rsidR="000F4CEB">
        <w:t>veel korter dan 10 jaar</w:t>
      </w:r>
      <w:r w:rsidR="0000256D">
        <w:t xml:space="preserve"> te stellen</w:t>
      </w:r>
      <w:r w:rsidR="00AC701D">
        <w:t>, zodat alle leeftijden evenveel mee krijgen van het vermogen</w:t>
      </w:r>
      <w:r w:rsidR="0000256D">
        <w:t>.</w:t>
      </w:r>
      <w:r w:rsidR="000F4CEB">
        <w:t xml:space="preserve"> </w:t>
      </w:r>
    </w:p>
    <w:p w14:paraId="54DF54FA" w14:textId="77777777" w:rsidR="006F32C7" w:rsidRDefault="005D79D1">
      <w:pPr>
        <w:rPr>
          <w:b/>
          <w:bCs/>
        </w:rPr>
      </w:pPr>
      <w:r w:rsidRPr="005D79D1">
        <w:rPr>
          <w:b/>
          <w:bCs/>
        </w:rPr>
        <w:t>Oordeel</w:t>
      </w:r>
    </w:p>
    <w:p w14:paraId="42B548A6" w14:textId="0B22820F" w:rsidR="00505318" w:rsidRPr="005D79D1" w:rsidRDefault="00AC701D">
      <w:r>
        <w:t xml:space="preserve">Per saldo </w:t>
      </w:r>
      <w:r w:rsidR="00505318" w:rsidRPr="00AC701D">
        <w:t>vind</w:t>
      </w:r>
      <w:r w:rsidR="002F5D1A">
        <w:t>t</w:t>
      </w:r>
      <w:r w:rsidR="00505318" w:rsidRPr="00AC701D">
        <w:t xml:space="preserve"> </w:t>
      </w:r>
      <w:r w:rsidR="002F5D1A">
        <w:t>ANBO-PCOB</w:t>
      </w:r>
      <w:r>
        <w:t xml:space="preserve"> </w:t>
      </w:r>
      <w:r w:rsidR="00AB611F" w:rsidRPr="00AC701D">
        <w:t xml:space="preserve">het </w:t>
      </w:r>
      <w:r w:rsidR="002F5D1A">
        <w:t xml:space="preserve">transitieplan van </w:t>
      </w:r>
      <w:proofErr w:type="spellStart"/>
      <w:r w:rsidR="002F5D1A">
        <w:t>Bpf</w:t>
      </w:r>
      <w:proofErr w:type="spellEnd"/>
      <w:r w:rsidR="002F5D1A">
        <w:t xml:space="preserve"> </w:t>
      </w:r>
      <w:r w:rsidR="000C4847">
        <w:t>Schilders</w:t>
      </w:r>
      <w:r w:rsidR="008B4139" w:rsidRPr="00AC701D">
        <w:t xml:space="preserve"> </w:t>
      </w:r>
      <w:r w:rsidR="00AB611F" w:rsidRPr="00AC701D">
        <w:t>niet</w:t>
      </w:r>
      <w:r w:rsidR="00B920F8" w:rsidRPr="00AC701D">
        <w:t xml:space="preserve"> </w:t>
      </w:r>
      <w:r w:rsidR="000C4847">
        <w:t xml:space="preserve">voldoende </w:t>
      </w:r>
      <w:r w:rsidR="00AB611F" w:rsidRPr="00AC701D">
        <w:t>evenwicht</w:t>
      </w:r>
      <w:r w:rsidR="007F774A" w:rsidRPr="00AC701D">
        <w:t>ig</w:t>
      </w:r>
      <w:r>
        <w:t>. D</w:t>
      </w:r>
      <w:r w:rsidR="007F774A" w:rsidRPr="00AC701D">
        <w:t xml:space="preserve">e </w:t>
      </w:r>
      <w:r w:rsidR="000152BF" w:rsidRPr="00AC701D">
        <w:t>bepleite aanpassing</w:t>
      </w:r>
      <w:r>
        <w:t>en zullen het plan</w:t>
      </w:r>
      <w:r w:rsidR="000152BF" w:rsidRPr="00AC701D">
        <w:t xml:space="preserve"> evenwicht</w:t>
      </w:r>
      <w:r>
        <w:t>iger maken</w:t>
      </w:r>
      <w:r w:rsidR="00AB611F" w:rsidRPr="00AC701D">
        <w:t>.</w:t>
      </w:r>
    </w:p>
    <w:p w14:paraId="14444197" w14:textId="2A2CB3FC" w:rsidR="00224DD1" w:rsidRDefault="00A8775A">
      <w:r>
        <w:t xml:space="preserve"> </w:t>
      </w:r>
    </w:p>
    <w:p w14:paraId="488F3452" w14:textId="77777777" w:rsidR="00224DD1" w:rsidRDefault="00224DD1"/>
    <w:p w14:paraId="2BF6410B" w14:textId="77777777" w:rsidR="00224DD1" w:rsidRDefault="00224DD1"/>
    <w:p w14:paraId="2E8DB2E1" w14:textId="77777777" w:rsidR="00F5316D" w:rsidRDefault="00F5316D"/>
    <w:sectPr w:rsidR="00F53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6D"/>
    <w:rsid w:val="000009B7"/>
    <w:rsid w:val="0000256D"/>
    <w:rsid w:val="000152BF"/>
    <w:rsid w:val="000851D9"/>
    <w:rsid w:val="000854CD"/>
    <w:rsid w:val="000C1201"/>
    <w:rsid w:val="000C4847"/>
    <w:rsid w:val="000E1F4F"/>
    <w:rsid w:val="000E323B"/>
    <w:rsid w:val="000F4CEB"/>
    <w:rsid w:val="00125015"/>
    <w:rsid w:val="00186813"/>
    <w:rsid w:val="001879CA"/>
    <w:rsid w:val="001C5372"/>
    <w:rsid w:val="001C7713"/>
    <w:rsid w:val="001E0F90"/>
    <w:rsid w:val="00211010"/>
    <w:rsid w:val="00224DD1"/>
    <w:rsid w:val="0022572F"/>
    <w:rsid w:val="00237D78"/>
    <w:rsid w:val="0027733D"/>
    <w:rsid w:val="00285492"/>
    <w:rsid w:val="00285BF9"/>
    <w:rsid w:val="002B167D"/>
    <w:rsid w:val="002D6634"/>
    <w:rsid w:val="002E6104"/>
    <w:rsid w:val="002F5D1A"/>
    <w:rsid w:val="0030098F"/>
    <w:rsid w:val="003058BA"/>
    <w:rsid w:val="00306AE6"/>
    <w:rsid w:val="00323344"/>
    <w:rsid w:val="00343385"/>
    <w:rsid w:val="00365A92"/>
    <w:rsid w:val="0038606B"/>
    <w:rsid w:val="003944E1"/>
    <w:rsid w:val="00396396"/>
    <w:rsid w:val="003C1AD2"/>
    <w:rsid w:val="003C33D0"/>
    <w:rsid w:val="003E1148"/>
    <w:rsid w:val="004344DA"/>
    <w:rsid w:val="0043488B"/>
    <w:rsid w:val="00440910"/>
    <w:rsid w:val="004754C6"/>
    <w:rsid w:val="00484E48"/>
    <w:rsid w:val="00485754"/>
    <w:rsid w:val="004B45CC"/>
    <w:rsid w:val="004C028E"/>
    <w:rsid w:val="004E0783"/>
    <w:rsid w:val="0050300F"/>
    <w:rsid w:val="00505318"/>
    <w:rsid w:val="005172C1"/>
    <w:rsid w:val="00521474"/>
    <w:rsid w:val="005372CE"/>
    <w:rsid w:val="00542049"/>
    <w:rsid w:val="005860CF"/>
    <w:rsid w:val="00591AFD"/>
    <w:rsid w:val="005979A8"/>
    <w:rsid w:val="005A0180"/>
    <w:rsid w:val="005B5FB1"/>
    <w:rsid w:val="005D79D1"/>
    <w:rsid w:val="00600C77"/>
    <w:rsid w:val="006011EE"/>
    <w:rsid w:val="00605EC5"/>
    <w:rsid w:val="00640755"/>
    <w:rsid w:val="00644EDC"/>
    <w:rsid w:val="006451DC"/>
    <w:rsid w:val="00675E8D"/>
    <w:rsid w:val="00680F36"/>
    <w:rsid w:val="006812B3"/>
    <w:rsid w:val="006F32C7"/>
    <w:rsid w:val="00702A47"/>
    <w:rsid w:val="0072409D"/>
    <w:rsid w:val="00765CC3"/>
    <w:rsid w:val="00782885"/>
    <w:rsid w:val="007B1A68"/>
    <w:rsid w:val="007F774A"/>
    <w:rsid w:val="007F7BDB"/>
    <w:rsid w:val="00821321"/>
    <w:rsid w:val="0083099C"/>
    <w:rsid w:val="0086244B"/>
    <w:rsid w:val="00867620"/>
    <w:rsid w:val="0088149B"/>
    <w:rsid w:val="008B3B97"/>
    <w:rsid w:val="008B4139"/>
    <w:rsid w:val="008C38AF"/>
    <w:rsid w:val="008F5E8D"/>
    <w:rsid w:val="00904969"/>
    <w:rsid w:val="00907E92"/>
    <w:rsid w:val="00920C66"/>
    <w:rsid w:val="009245AD"/>
    <w:rsid w:val="009428B8"/>
    <w:rsid w:val="00966A9F"/>
    <w:rsid w:val="00971400"/>
    <w:rsid w:val="00986F0A"/>
    <w:rsid w:val="00990C6F"/>
    <w:rsid w:val="009A5CC3"/>
    <w:rsid w:val="009D236C"/>
    <w:rsid w:val="00A02BBD"/>
    <w:rsid w:val="00A03EC8"/>
    <w:rsid w:val="00A32657"/>
    <w:rsid w:val="00A36BB0"/>
    <w:rsid w:val="00A67F2E"/>
    <w:rsid w:val="00A87101"/>
    <w:rsid w:val="00A8775A"/>
    <w:rsid w:val="00A96C07"/>
    <w:rsid w:val="00AA0927"/>
    <w:rsid w:val="00AB4D32"/>
    <w:rsid w:val="00AB611F"/>
    <w:rsid w:val="00AC701D"/>
    <w:rsid w:val="00AF24AC"/>
    <w:rsid w:val="00AF410B"/>
    <w:rsid w:val="00B03E2D"/>
    <w:rsid w:val="00B12FF4"/>
    <w:rsid w:val="00B15BE5"/>
    <w:rsid w:val="00B22F3A"/>
    <w:rsid w:val="00B2338E"/>
    <w:rsid w:val="00B260AF"/>
    <w:rsid w:val="00B42409"/>
    <w:rsid w:val="00B44FD8"/>
    <w:rsid w:val="00B801BD"/>
    <w:rsid w:val="00B920F8"/>
    <w:rsid w:val="00BD464F"/>
    <w:rsid w:val="00BE2104"/>
    <w:rsid w:val="00BF1B2A"/>
    <w:rsid w:val="00C04414"/>
    <w:rsid w:val="00C11F64"/>
    <w:rsid w:val="00C4193F"/>
    <w:rsid w:val="00C4570D"/>
    <w:rsid w:val="00C477DA"/>
    <w:rsid w:val="00C5529B"/>
    <w:rsid w:val="00C74358"/>
    <w:rsid w:val="00C75685"/>
    <w:rsid w:val="00C759F0"/>
    <w:rsid w:val="00C7630A"/>
    <w:rsid w:val="00C838F8"/>
    <w:rsid w:val="00CA5380"/>
    <w:rsid w:val="00CA6F0D"/>
    <w:rsid w:val="00CB57F9"/>
    <w:rsid w:val="00CD349D"/>
    <w:rsid w:val="00D03D5F"/>
    <w:rsid w:val="00D16E28"/>
    <w:rsid w:val="00D31C4C"/>
    <w:rsid w:val="00D336A8"/>
    <w:rsid w:val="00D529B1"/>
    <w:rsid w:val="00D60908"/>
    <w:rsid w:val="00D62184"/>
    <w:rsid w:val="00D735EE"/>
    <w:rsid w:val="00D93FA0"/>
    <w:rsid w:val="00D95475"/>
    <w:rsid w:val="00E1114E"/>
    <w:rsid w:val="00E20238"/>
    <w:rsid w:val="00E20843"/>
    <w:rsid w:val="00E31EEE"/>
    <w:rsid w:val="00E3444B"/>
    <w:rsid w:val="00E508A3"/>
    <w:rsid w:val="00E564D4"/>
    <w:rsid w:val="00E81053"/>
    <w:rsid w:val="00E84325"/>
    <w:rsid w:val="00E91A19"/>
    <w:rsid w:val="00EB3659"/>
    <w:rsid w:val="00EB3CBE"/>
    <w:rsid w:val="00ED2DDA"/>
    <w:rsid w:val="00EE46CE"/>
    <w:rsid w:val="00EF7538"/>
    <w:rsid w:val="00F13E11"/>
    <w:rsid w:val="00F23B47"/>
    <w:rsid w:val="00F44600"/>
    <w:rsid w:val="00F5316D"/>
    <w:rsid w:val="00FF07C6"/>
    <w:rsid w:val="00FF4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6CAE"/>
  <w15:chartTrackingRefBased/>
  <w15:docId w15:val="{D89BA570-2BC6-4858-9F30-7C4BBFEA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1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1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1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1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1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1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1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1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16D"/>
    <w:rPr>
      <w:rFonts w:eastAsiaTheme="majorEastAsia" w:cstheme="majorBidi"/>
      <w:color w:val="272727" w:themeColor="text1" w:themeTint="D8"/>
    </w:rPr>
  </w:style>
  <w:style w:type="paragraph" w:styleId="Titel">
    <w:name w:val="Title"/>
    <w:basedOn w:val="Standaard"/>
    <w:next w:val="Standaard"/>
    <w:link w:val="TitelChar"/>
    <w:uiPriority w:val="10"/>
    <w:qFormat/>
    <w:rsid w:val="00F53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16D"/>
    <w:rPr>
      <w:i/>
      <w:iCs/>
      <w:color w:val="404040" w:themeColor="text1" w:themeTint="BF"/>
    </w:rPr>
  </w:style>
  <w:style w:type="paragraph" w:styleId="Lijstalinea">
    <w:name w:val="List Paragraph"/>
    <w:basedOn w:val="Standaard"/>
    <w:uiPriority w:val="34"/>
    <w:qFormat/>
    <w:rsid w:val="00F5316D"/>
    <w:pPr>
      <w:ind w:left="720"/>
      <w:contextualSpacing/>
    </w:pPr>
  </w:style>
  <w:style w:type="character" w:styleId="Intensievebenadrukking">
    <w:name w:val="Intense Emphasis"/>
    <w:basedOn w:val="Standaardalinea-lettertype"/>
    <w:uiPriority w:val="21"/>
    <w:qFormat/>
    <w:rsid w:val="00F5316D"/>
    <w:rPr>
      <w:i/>
      <w:iCs/>
      <w:color w:val="0F4761" w:themeColor="accent1" w:themeShade="BF"/>
    </w:rPr>
  </w:style>
  <w:style w:type="paragraph" w:styleId="Duidelijkcitaat">
    <w:name w:val="Intense Quote"/>
    <w:basedOn w:val="Standaard"/>
    <w:next w:val="Standaard"/>
    <w:link w:val="DuidelijkcitaatChar"/>
    <w:uiPriority w:val="30"/>
    <w:qFormat/>
    <w:rsid w:val="00F53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16D"/>
    <w:rPr>
      <w:i/>
      <w:iCs/>
      <w:color w:val="0F4761" w:themeColor="accent1" w:themeShade="BF"/>
    </w:rPr>
  </w:style>
  <w:style w:type="character" w:styleId="Intensieveverwijzing">
    <w:name w:val="Intense Reference"/>
    <w:basedOn w:val="Standaardalinea-lettertype"/>
    <w:uiPriority w:val="32"/>
    <w:qFormat/>
    <w:rsid w:val="00F531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5907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Reijn</dc:creator>
  <cp:keywords/>
  <dc:description/>
  <cp:lastModifiedBy>Jurriën Beerda</cp:lastModifiedBy>
  <cp:revision>2</cp:revision>
  <cp:lastPrinted>2024-07-08T14:49:00Z</cp:lastPrinted>
  <dcterms:created xsi:type="dcterms:W3CDTF">2024-10-21T11:28:00Z</dcterms:created>
  <dcterms:modified xsi:type="dcterms:W3CDTF">2024-10-21T11:28:00Z</dcterms:modified>
</cp:coreProperties>
</file>